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09" w:rsidRDefault="00A67268">
      <w:pPr>
        <w:pStyle w:val="Title"/>
        <w:rPr>
          <w:rFonts w:ascii="Bookman Old Style" w:hAnsi="Bookman Old Style" w:hint="eastAsia"/>
          <w:color w:val="C00000"/>
        </w:rPr>
      </w:pPr>
      <w:sdt>
        <w:sdtPr>
          <w:alias w:val="Author"/>
          <w:id w:val="264439513"/>
          <w:dataBinding w:prefixMappings="xmlns:ns0='http://purl.org/dc/elements/1.1/' xmlns:ns1='http://schemas.openxmlformats.org/package/2006/metadata/core-properties' " w:xpath="/ns1:coreProperties[1]/ns0:creator[1]" w:storeItemID="{6C3C8BC8-F283-45AE-878A-BAB7291924A1}"/>
          <w:text/>
        </w:sdtPr>
        <w:sdtEndPr/>
        <w:sdtContent>
          <w:r>
            <w:rPr>
              <w:rFonts w:ascii="Bookman Old Style" w:hAnsi="Bookman Old Style"/>
              <w:color w:val="C00000"/>
            </w:rPr>
            <w:t>A.W. Pickel, III, CMC</w:t>
          </w:r>
        </w:sdtContent>
      </w:sdt>
    </w:p>
    <w:sdt>
      <w:sdtPr>
        <w:alias w:val="E-mail Address"/>
        <w:id w:val="2022559125"/>
        <w:dataBinding w:prefixMappings="xmlns:ns0='http://schemas.microsoft.com/office/2006/coverPageProps' " w:xpath="/ns0:CoverPageProperties[1]/ns0:CompanyEmail[1]" w:storeItemID="{55AF091B-3C7A-41E3-B477-F2FDAA23CFDA}"/>
        <w:text/>
      </w:sdtPr>
      <w:sdtEndPr/>
      <w:sdtContent>
        <w:p w:rsidR="00E33309" w:rsidRDefault="0042393E">
          <w:pPr>
            <w:pStyle w:val="NoSpacing"/>
            <w:rPr>
              <w:rFonts w:cstheme="minorHAnsi"/>
              <w:color w:val="7A7A7A" w:themeColor="accent1"/>
              <w:sz w:val="20"/>
              <w:szCs w:val="20"/>
            </w:rPr>
          </w:pPr>
          <w:r>
            <w:t>aw@awpickel.com</w:t>
          </w:r>
        </w:p>
      </w:sdtContent>
    </w:sdt>
    <w:sdt>
      <w:sdtPr>
        <w:alias w:val="Phone"/>
        <w:id w:val="2054251813"/>
        <w:dataBinding w:prefixMappings="xmlns:ns0='http://schemas.microsoft.com/office/2006/coverPageProps' " w:xpath="/ns0:CoverPageProperties[1]/ns0:CompanyPhone[1]" w:storeItemID="{55AF091B-3C7A-41E3-B477-F2FDAA23CFDA}"/>
        <w:text/>
      </w:sdtPr>
      <w:sdtEndPr/>
      <w:sdtContent>
        <w:p w:rsidR="00E33309" w:rsidRDefault="00A67268">
          <w:pPr>
            <w:pStyle w:val="NoSpacing"/>
            <w:rPr>
              <w:rFonts w:cstheme="minorHAnsi"/>
              <w:color w:val="7A7A7A" w:themeColor="accent1"/>
              <w:sz w:val="20"/>
              <w:szCs w:val="20"/>
            </w:rPr>
          </w:pPr>
          <w:r>
            <w:rPr>
              <w:rFonts w:cstheme="minorHAnsi"/>
              <w:color w:val="7A7A7A" w:themeColor="accent1"/>
              <w:sz w:val="20"/>
              <w:szCs w:val="20"/>
            </w:rPr>
            <w:t>Cell 913.909.3522</w:t>
          </w:r>
        </w:p>
      </w:sdtContent>
    </w:sdt>
    <w:sdt>
      <w:sdtPr>
        <w:id w:val="1349815102"/>
        <w:text/>
      </w:sdtPr>
      <w:sdtEndPr/>
      <w:sdtContent>
        <w:p w:rsidR="00E33309" w:rsidRDefault="0042393E">
          <w:pPr>
            <w:rPr>
              <w:rFonts w:cstheme="minorHAnsi"/>
              <w:color w:val="7A7A7A" w:themeColor="accent1"/>
              <w:sz w:val="20"/>
              <w:szCs w:val="20"/>
            </w:rPr>
          </w:pPr>
          <w:r>
            <w:rPr>
              <w:rStyle w:val="PlaceholderText"/>
              <w:color w:val="000000"/>
            </w:rPr>
            <w:t>www.awpickel.com</w:t>
          </w:r>
        </w:p>
      </w:sdtContent>
    </w:sdt>
    <w:p w:rsidR="00E33309" w:rsidRDefault="00A67268">
      <w:pPr>
        <w:pStyle w:val="SectionHeading"/>
        <w:rPr>
          <w:rFonts w:ascii="Bookman Old Style" w:hAnsi="Bookman Old Style" w:hint="eastAsia"/>
          <w:b/>
          <w:color w:val="404040" w:themeColor="text1" w:themeTint="BF"/>
        </w:rPr>
      </w:pPr>
      <w:r>
        <w:rPr>
          <w:rFonts w:ascii="Bookman Old Style" w:hAnsi="Bookman Old Style"/>
          <w:b/>
          <w:color w:val="404040" w:themeColor="text1" w:themeTint="BF"/>
        </w:rPr>
        <w:t>EXECUTIVE PROFILE</w:t>
      </w:r>
    </w:p>
    <w:p w:rsidR="00E33309" w:rsidRDefault="00A67268">
      <w:pPr>
        <w:spacing w:after="120" w:line="276" w:lineRule="auto"/>
        <w:jc w:val="both"/>
        <w:rPr>
          <w:rFonts w:cstheme="minorHAnsi"/>
          <w:color w:val="404040" w:themeColor="text1" w:themeTint="BF"/>
          <w:sz w:val="20"/>
          <w:szCs w:val="20"/>
        </w:rPr>
      </w:pPr>
      <w:r>
        <w:rPr>
          <w:rFonts w:cstheme="minorHAnsi"/>
          <w:color w:val="404040" w:themeColor="text1" w:themeTint="BF"/>
          <w:sz w:val="20"/>
          <w:szCs w:val="20"/>
        </w:rPr>
        <w:t xml:space="preserve">Nationally recognized mortgage lending expert, CEO and founder of major regional mortgage banking firm. 30 years of leadership in the origination, servicing and secondary marketing of all types of mortgage loans, including residential and commercial.  </w:t>
      </w:r>
    </w:p>
    <w:p w:rsidR="00E33309" w:rsidRDefault="00A67268">
      <w:pPr>
        <w:spacing w:after="120" w:line="276" w:lineRule="auto"/>
        <w:jc w:val="both"/>
        <w:rPr>
          <w:rFonts w:cstheme="minorHAnsi"/>
          <w:color w:val="404040" w:themeColor="text1" w:themeTint="BF"/>
          <w:sz w:val="20"/>
          <w:szCs w:val="20"/>
        </w:rPr>
      </w:pPr>
      <w:r>
        <w:rPr>
          <w:rFonts w:cstheme="minorHAnsi"/>
          <w:color w:val="404040" w:themeColor="text1" w:themeTint="BF"/>
          <w:sz w:val="20"/>
          <w:szCs w:val="20"/>
        </w:rPr>
        <w:t>Hig</w:t>
      </w:r>
      <w:r>
        <w:rPr>
          <w:rFonts w:cstheme="minorHAnsi"/>
          <w:color w:val="404040" w:themeColor="text1" w:themeTint="BF"/>
          <w:sz w:val="20"/>
          <w:szCs w:val="20"/>
        </w:rPr>
        <w:t>hly experienced in recruiting, training and deploying teams in centralized and branch environments, and leading them to high achievement. Developed mortgage banking company from local loan brokerage and grew company to $1.7billion in annual production (pre</w:t>
      </w:r>
      <w:r>
        <w:rPr>
          <w:rFonts w:cstheme="minorHAnsi"/>
          <w:color w:val="404040" w:themeColor="text1" w:themeTint="BF"/>
          <w:sz w:val="20"/>
          <w:szCs w:val="20"/>
        </w:rPr>
        <w:t xml:space="preserve">dominantly purchase loans rather than refinances) over the course of </w:t>
      </w:r>
      <w:r w:rsidR="0042393E">
        <w:rPr>
          <w:rFonts w:cstheme="minorHAnsi"/>
          <w:color w:val="404040" w:themeColor="text1" w:themeTint="BF"/>
          <w:sz w:val="20"/>
          <w:szCs w:val="20"/>
        </w:rPr>
        <w:t>31</w:t>
      </w:r>
      <w:r>
        <w:rPr>
          <w:rFonts w:cstheme="minorHAnsi"/>
          <w:color w:val="404040" w:themeColor="text1" w:themeTint="BF"/>
          <w:sz w:val="20"/>
          <w:szCs w:val="20"/>
        </w:rPr>
        <w:t xml:space="preserve"> years and many economic cycles.  </w:t>
      </w:r>
    </w:p>
    <w:p w:rsidR="00E33309" w:rsidRDefault="00A67268">
      <w:pPr>
        <w:spacing w:after="120" w:line="276" w:lineRule="auto"/>
        <w:jc w:val="both"/>
        <w:rPr>
          <w:rFonts w:cstheme="minorHAnsi"/>
          <w:color w:val="404040" w:themeColor="text1" w:themeTint="BF"/>
          <w:sz w:val="20"/>
          <w:szCs w:val="20"/>
        </w:rPr>
      </w:pPr>
      <w:r>
        <w:rPr>
          <w:rFonts w:cstheme="minorHAnsi"/>
          <w:color w:val="404040" w:themeColor="text1" w:themeTint="BF"/>
          <w:sz w:val="20"/>
          <w:szCs w:val="20"/>
        </w:rPr>
        <w:t xml:space="preserve">Numerous published articles, speaking engagements and industry association offices held during </w:t>
      </w:r>
      <w:r w:rsidR="0042393E">
        <w:rPr>
          <w:rFonts w:cstheme="minorHAnsi"/>
          <w:color w:val="404040" w:themeColor="text1" w:themeTint="BF"/>
          <w:sz w:val="20"/>
          <w:szCs w:val="20"/>
        </w:rPr>
        <w:t xml:space="preserve">31 </w:t>
      </w:r>
      <w:r>
        <w:rPr>
          <w:rFonts w:cstheme="minorHAnsi"/>
          <w:color w:val="404040" w:themeColor="text1" w:themeTint="BF"/>
          <w:sz w:val="20"/>
          <w:szCs w:val="20"/>
        </w:rPr>
        <w:t>year career in real estate finance, including presid</w:t>
      </w:r>
      <w:r>
        <w:rPr>
          <w:rFonts w:cstheme="minorHAnsi"/>
          <w:color w:val="404040" w:themeColor="text1" w:themeTint="BF"/>
          <w:sz w:val="20"/>
          <w:szCs w:val="20"/>
        </w:rPr>
        <w:t xml:space="preserve">ent of the National Association of Mortgage Brokers during a period of robust growth to over 24,000 members in 50 states.  </w:t>
      </w:r>
    </w:p>
    <w:p w:rsidR="00E33309" w:rsidRDefault="00A67268">
      <w:pPr>
        <w:spacing w:after="120" w:line="276" w:lineRule="auto"/>
        <w:jc w:val="both"/>
        <w:rPr>
          <w:rFonts w:cstheme="minorHAnsi"/>
          <w:color w:val="404040" w:themeColor="text1" w:themeTint="BF"/>
          <w:sz w:val="20"/>
          <w:szCs w:val="20"/>
        </w:rPr>
      </w:pPr>
      <w:r>
        <w:rPr>
          <w:rFonts w:cstheme="minorHAnsi"/>
          <w:color w:val="404040" w:themeColor="text1" w:themeTint="BF"/>
          <w:sz w:val="20"/>
          <w:szCs w:val="20"/>
        </w:rPr>
        <w:t>Presented expert testimony before both the U.S. Senate and U.S. House of Representatives as well as the Kansas House and Senate on k</w:t>
      </w:r>
      <w:r>
        <w:rPr>
          <w:rFonts w:cstheme="minorHAnsi"/>
          <w:color w:val="404040" w:themeColor="text1" w:themeTint="BF"/>
          <w:sz w:val="20"/>
          <w:szCs w:val="20"/>
        </w:rPr>
        <w:t xml:space="preserve">ey housing and finance issues. Frequent expert witness appearances (deposition and trial) in various court systems.  </w:t>
      </w:r>
    </w:p>
    <w:p w:rsidR="00E33309" w:rsidRDefault="00A67268">
      <w:pPr>
        <w:spacing w:after="120" w:line="276" w:lineRule="auto"/>
        <w:jc w:val="both"/>
        <w:rPr>
          <w:rFonts w:cstheme="minorHAnsi"/>
          <w:color w:val="404040" w:themeColor="text1" w:themeTint="BF"/>
          <w:sz w:val="20"/>
          <w:szCs w:val="20"/>
        </w:rPr>
      </w:pPr>
      <w:r>
        <w:rPr>
          <w:rFonts w:cstheme="minorHAnsi"/>
          <w:color w:val="404040" w:themeColor="text1" w:themeTint="BF"/>
          <w:sz w:val="20"/>
          <w:szCs w:val="20"/>
        </w:rPr>
        <w:t>Widely interviewed and quoted in the Associated Press, the Wall Street Journal, the New York Times, USA Today, U.S. News &amp; World Report, C</w:t>
      </w:r>
      <w:r>
        <w:rPr>
          <w:rFonts w:cstheme="minorHAnsi"/>
          <w:color w:val="404040" w:themeColor="text1" w:themeTint="BF"/>
          <w:sz w:val="20"/>
          <w:szCs w:val="20"/>
        </w:rPr>
        <w:t>NNfn, and the Washington Post, among others.</w:t>
      </w:r>
    </w:p>
    <w:p w:rsidR="00E33309" w:rsidRDefault="00E33309">
      <w:pPr>
        <w:pStyle w:val="SectionHeading"/>
        <w:rPr>
          <w:rFonts w:asciiTheme="minorHAnsi" w:hAnsiTheme="minorHAnsi" w:cstheme="minorHAnsi"/>
          <w:b/>
          <w:sz w:val="10"/>
          <w:szCs w:val="10"/>
        </w:rPr>
      </w:pPr>
    </w:p>
    <w:p w:rsidR="00E33309" w:rsidRDefault="00A67268">
      <w:pPr>
        <w:pStyle w:val="SectionHeading"/>
        <w:rPr>
          <w:rFonts w:ascii="Bookman Old Style" w:hAnsi="Bookman Old Style" w:hint="eastAsia"/>
          <w:b/>
          <w:color w:val="404040" w:themeColor="text1" w:themeTint="BF"/>
        </w:rPr>
      </w:pPr>
      <w:r>
        <w:rPr>
          <w:rFonts w:ascii="Bookman Old Style" w:hAnsi="Bookman Old Style"/>
          <w:b/>
          <w:color w:val="404040" w:themeColor="text1" w:themeTint="BF"/>
        </w:rPr>
        <w:t>PROFESSIONAL HIGHLIGHTS</w:t>
      </w:r>
    </w:p>
    <w:p w:rsidR="00E33309" w:rsidRDefault="00A67268">
      <w:pPr>
        <w:rPr>
          <w:b/>
        </w:rPr>
      </w:pPr>
      <w:r>
        <w:rPr>
          <w:b/>
          <w:color w:val="FF0000"/>
        </w:rPr>
        <w:t>President/CEO, Waterstone Mortgage Corporation                                                      2018 - Present</w:t>
      </w:r>
    </w:p>
    <w:p w:rsidR="00E33309" w:rsidRDefault="00A67268">
      <w:pPr>
        <w:pStyle w:val="ListParagraph"/>
        <w:numPr>
          <w:ilvl w:val="1"/>
          <w:numId w:val="1"/>
        </w:numPr>
        <w:spacing w:after="120"/>
        <w:jc w:val="both"/>
      </w:pPr>
      <w:r>
        <w:rPr>
          <w:rFonts w:cstheme="minorHAnsi"/>
          <w:bCs/>
          <w:iCs/>
          <w:color w:val="404040" w:themeColor="text1" w:themeTint="BF"/>
          <w:sz w:val="20"/>
          <w:szCs w:val="20"/>
        </w:rPr>
        <w:t>Recruited to lead the company through an ongoing national rollout, open</w:t>
      </w:r>
      <w:r>
        <w:rPr>
          <w:rFonts w:cstheme="minorHAnsi"/>
          <w:bCs/>
          <w:iCs/>
          <w:color w:val="404040" w:themeColor="text1" w:themeTint="BF"/>
          <w:sz w:val="20"/>
          <w:szCs w:val="20"/>
        </w:rPr>
        <w:t xml:space="preserve">ing branches in a number of new states. </w:t>
      </w:r>
      <w:r w:rsidR="0042393E">
        <w:rPr>
          <w:rFonts w:cstheme="minorHAnsi"/>
          <w:bCs/>
          <w:iCs/>
          <w:color w:val="404040" w:themeColor="text1" w:themeTint="BF"/>
          <w:sz w:val="20"/>
          <w:szCs w:val="20"/>
        </w:rPr>
        <w:t>A</w:t>
      </w:r>
      <w:r>
        <w:rPr>
          <w:rFonts w:cstheme="minorHAnsi"/>
          <w:bCs/>
          <w:iCs/>
          <w:color w:val="404040" w:themeColor="text1" w:themeTint="BF"/>
          <w:sz w:val="20"/>
          <w:szCs w:val="20"/>
        </w:rPr>
        <w:t>ligned the C-suite team and created rules for recruiting qualified branch managers and loan officers.</w:t>
      </w:r>
    </w:p>
    <w:p w:rsidR="00E33309" w:rsidRDefault="00A67268">
      <w:pPr>
        <w:pStyle w:val="ListParagraph"/>
        <w:numPr>
          <w:ilvl w:val="1"/>
          <w:numId w:val="1"/>
        </w:numPr>
        <w:spacing w:after="120"/>
        <w:jc w:val="both"/>
      </w:pPr>
      <w:r>
        <w:rPr>
          <w:rFonts w:cstheme="minorHAnsi"/>
          <w:bCs/>
          <w:iCs/>
          <w:color w:val="404040" w:themeColor="text1" w:themeTint="BF"/>
          <w:sz w:val="20"/>
          <w:szCs w:val="20"/>
        </w:rPr>
        <w:t>Set strategic direction for the firm that would ensure long term stability. Coordinated the efforts</w:t>
      </w:r>
      <w:r>
        <w:rPr>
          <w:rFonts w:cstheme="minorHAnsi"/>
          <w:bCs/>
          <w:iCs/>
          <w:color w:val="404040" w:themeColor="text1" w:themeTint="BF"/>
          <w:sz w:val="20"/>
          <w:szCs w:val="20"/>
        </w:rPr>
        <w:t xml:space="preserve"> of the management team and established training opportunities for branch managers.</w:t>
      </w:r>
    </w:p>
    <w:p w:rsidR="00E33309" w:rsidRDefault="00A67268">
      <w:pPr>
        <w:pStyle w:val="ListParagraph"/>
        <w:numPr>
          <w:ilvl w:val="1"/>
          <w:numId w:val="1"/>
        </w:numPr>
        <w:spacing w:after="120"/>
        <w:jc w:val="both"/>
      </w:pPr>
      <w:r>
        <w:rPr>
          <w:rFonts w:cstheme="minorHAnsi"/>
          <w:bCs/>
          <w:iCs/>
          <w:color w:val="404040" w:themeColor="text1" w:themeTint="BF"/>
          <w:sz w:val="20"/>
          <w:szCs w:val="20"/>
        </w:rPr>
        <w:t>Served as the primary communication channel between corporate operations and the Board of Directors for the parent bank. Also served as the public face of the company.</w:t>
      </w:r>
    </w:p>
    <w:p w:rsidR="00E33309" w:rsidRDefault="00A67268">
      <w:pPr>
        <w:pStyle w:val="ListParagraph"/>
        <w:numPr>
          <w:ilvl w:val="1"/>
          <w:numId w:val="1"/>
        </w:numPr>
        <w:spacing w:after="120"/>
        <w:jc w:val="both"/>
      </w:pPr>
      <w:r>
        <w:rPr>
          <w:rFonts w:cstheme="minorHAnsi"/>
          <w:bCs/>
          <w:iCs/>
          <w:color w:val="404040" w:themeColor="text1" w:themeTint="BF"/>
          <w:sz w:val="20"/>
          <w:szCs w:val="20"/>
        </w:rPr>
        <w:t>Resp</w:t>
      </w:r>
      <w:r>
        <w:rPr>
          <w:rFonts w:cstheme="minorHAnsi"/>
          <w:bCs/>
          <w:iCs/>
          <w:color w:val="404040" w:themeColor="text1" w:themeTint="BF"/>
          <w:sz w:val="20"/>
          <w:szCs w:val="20"/>
        </w:rPr>
        <w:t>onsible for all strategic decisions for the mortgage company.</w:t>
      </w:r>
    </w:p>
    <w:p w:rsidR="00E33309" w:rsidRDefault="00E33309">
      <w:pPr>
        <w:pStyle w:val="ListParagraph"/>
        <w:spacing w:after="120"/>
        <w:jc w:val="both"/>
        <w:rPr>
          <w:rFonts w:ascii="SourceSansPro;sans-serif" w:hAnsi="SourceSansPro;sans-serif" w:hint="eastAsia"/>
          <w:color w:val="111111"/>
          <w:sz w:val="19"/>
        </w:rPr>
      </w:pPr>
    </w:p>
    <w:p w:rsidR="00E33309" w:rsidRDefault="00A67268">
      <w:r>
        <w:rPr>
          <w:b/>
          <w:color w:val="D1282E" w:themeColor="text2"/>
        </w:rPr>
        <w:t>President, Midwest Division, AmCap Mortgage, Ltd</w:t>
      </w:r>
      <w:r>
        <w:rPr>
          <w:b/>
          <w:color w:val="D1282E" w:themeColor="text2"/>
        </w:rPr>
        <w:tab/>
      </w:r>
      <w:r>
        <w:rPr>
          <w:b/>
          <w:color w:val="D1282E" w:themeColor="text2"/>
        </w:rPr>
        <w:tab/>
      </w:r>
      <w:r>
        <w:rPr>
          <w:b/>
          <w:color w:val="D1282E" w:themeColor="text2"/>
        </w:rPr>
        <w:tab/>
      </w:r>
      <w:r>
        <w:rPr>
          <w:b/>
          <w:color w:val="D1282E" w:themeColor="text2"/>
        </w:rPr>
        <w:tab/>
        <w:t xml:space="preserve">       </w:t>
      </w:r>
      <w:r>
        <w:rPr>
          <w:b/>
          <w:color w:val="D1282E" w:themeColor="text2"/>
        </w:rPr>
        <w:tab/>
        <w:t>2016 - 2018</w:t>
      </w:r>
    </w:p>
    <w:p w:rsidR="00E33309" w:rsidRDefault="00A67268">
      <w:pPr>
        <w:pStyle w:val="ListParagraph"/>
        <w:numPr>
          <w:ilvl w:val="1"/>
          <w:numId w:val="1"/>
        </w:numPr>
        <w:spacing w:after="120"/>
        <w:jc w:val="both"/>
      </w:pPr>
      <w:r>
        <w:rPr>
          <w:rFonts w:cstheme="minorHAnsi"/>
          <w:bCs/>
          <w:iCs/>
          <w:color w:val="404040" w:themeColor="text1" w:themeTint="BF"/>
          <w:sz w:val="20"/>
          <w:szCs w:val="20"/>
        </w:rPr>
        <w:t xml:space="preserve">Given responsibility for growing the Midwest Division of AmCap Mortgage Limited. </w:t>
      </w:r>
    </w:p>
    <w:p w:rsidR="00E33309" w:rsidRDefault="00A67268">
      <w:pPr>
        <w:pStyle w:val="ListParagraph"/>
        <w:numPr>
          <w:ilvl w:val="1"/>
          <w:numId w:val="1"/>
        </w:numPr>
        <w:spacing w:after="120"/>
        <w:jc w:val="both"/>
      </w:pPr>
      <w:r>
        <w:rPr>
          <w:rFonts w:cstheme="minorHAnsi"/>
          <w:bCs/>
          <w:iCs/>
          <w:color w:val="404040" w:themeColor="text1" w:themeTint="BF"/>
          <w:sz w:val="20"/>
          <w:szCs w:val="20"/>
        </w:rPr>
        <w:t xml:space="preserve">Responsible for complete P&amp;L oversight </w:t>
      </w:r>
      <w:r>
        <w:rPr>
          <w:rFonts w:cstheme="minorHAnsi"/>
          <w:bCs/>
          <w:iCs/>
          <w:color w:val="404040" w:themeColor="text1" w:themeTint="BF"/>
          <w:sz w:val="20"/>
          <w:szCs w:val="20"/>
        </w:rPr>
        <w:t>for the division and all strategic decision making regarding its growth.</w:t>
      </w:r>
    </w:p>
    <w:p w:rsidR="00E33309" w:rsidRPr="0042393E" w:rsidRDefault="00A67268">
      <w:pPr>
        <w:pStyle w:val="ListParagraph"/>
        <w:numPr>
          <w:ilvl w:val="1"/>
          <w:numId w:val="1"/>
        </w:numPr>
        <w:spacing w:after="120"/>
        <w:jc w:val="both"/>
      </w:pPr>
      <w:r>
        <w:rPr>
          <w:rFonts w:cstheme="minorHAnsi"/>
          <w:bCs/>
          <w:iCs/>
          <w:color w:val="404040" w:themeColor="text1" w:themeTint="BF"/>
          <w:sz w:val="20"/>
          <w:szCs w:val="20"/>
        </w:rPr>
        <w:t xml:space="preserve">Succeeded by growing </w:t>
      </w:r>
      <w:r w:rsidR="0042393E">
        <w:rPr>
          <w:rFonts w:cstheme="minorHAnsi"/>
          <w:bCs/>
          <w:iCs/>
          <w:color w:val="404040" w:themeColor="text1" w:themeTint="BF"/>
          <w:sz w:val="20"/>
          <w:szCs w:val="20"/>
        </w:rPr>
        <w:t>seven branches for AmCap Mortgage Limited</w:t>
      </w:r>
      <w:r>
        <w:rPr>
          <w:rFonts w:cstheme="minorHAnsi"/>
          <w:bCs/>
          <w:iCs/>
          <w:color w:val="404040" w:themeColor="text1" w:themeTint="BF"/>
          <w:sz w:val="20"/>
          <w:szCs w:val="20"/>
        </w:rPr>
        <w:t>.</w:t>
      </w:r>
    </w:p>
    <w:p w:rsidR="00E33309" w:rsidRPr="00A67268" w:rsidRDefault="0042393E" w:rsidP="00A67268">
      <w:pPr>
        <w:pStyle w:val="ListParagraph"/>
        <w:numPr>
          <w:ilvl w:val="1"/>
          <w:numId w:val="1"/>
        </w:numPr>
        <w:spacing w:after="120"/>
        <w:jc w:val="both"/>
        <w:rPr>
          <w:sz w:val="20"/>
          <w:szCs w:val="20"/>
        </w:rPr>
      </w:pPr>
      <w:r w:rsidRPr="00A67268">
        <w:rPr>
          <w:rFonts w:cstheme="minorHAnsi"/>
          <w:bCs/>
          <w:iCs/>
          <w:color w:val="404040" w:themeColor="text1" w:themeTint="BF"/>
          <w:sz w:val="20"/>
          <w:szCs w:val="20"/>
        </w:rPr>
        <w:t>Assisted the CEO and President with MBA leadership issues.</w:t>
      </w:r>
      <w:bookmarkStart w:id="0" w:name="_GoBack"/>
      <w:bookmarkEnd w:id="0"/>
    </w:p>
    <w:p w:rsidR="00E33309" w:rsidRDefault="00A67268">
      <w:pPr>
        <w:sectPr w:rsidR="00E33309">
          <w:headerReference w:type="default" r:id="rId10"/>
          <w:pgSz w:w="12240" w:h="15840"/>
          <w:pgMar w:top="1080" w:right="1080" w:bottom="1080" w:left="1080" w:header="576" w:footer="0" w:gutter="0"/>
          <w:cols w:space="720"/>
          <w:formProt w:val="0"/>
          <w:docGrid w:linePitch="360" w:charSpace="4096"/>
        </w:sectPr>
      </w:pPr>
      <w:r>
        <w:t xml:space="preserve"> </w:t>
      </w:r>
    </w:p>
    <w:p w:rsidR="00E33309" w:rsidRDefault="00A67268">
      <w:pPr>
        <w:pStyle w:val="Subsection"/>
        <w:tabs>
          <w:tab w:val="right" w:pos="10080"/>
        </w:tabs>
        <w:spacing w:before="0" w:after="200"/>
        <w:rPr>
          <w:rFonts w:asciiTheme="minorHAnsi" w:hAnsiTheme="minorHAnsi" w:cstheme="minorHAnsi"/>
          <w:b/>
          <w:color w:val="C00000"/>
          <w:sz w:val="22"/>
          <w:szCs w:val="22"/>
        </w:rPr>
      </w:pPr>
      <w:r>
        <w:rPr>
          <w:rFonts w:asciiTheme="minorHAnsi" w:hAnsiTheme="minorHAnsi" w:cstheme="minorHAnsi"/>
          <w:b/>
          <w:color w:val="C00000"/>
          <w:sz w:val="22"/>
          <w:szCs w:val="22"/>
        </w:rPr>
        <w:lastRenderedPageBreak/>
        <w:t xml:space="preserve">Founder, President, &amp; CEO, </w:t>
      </w:r>
      <w:r>
        <w:rPr>
          <w:rFonts w:asciiTheme="minorHAnsi" w:hAnsiTheme="minorHAnsi" w:cstheme="minorHAnsi"/>
          <w:b/>
          <w:color w:val="C00000"/>
          <w:sz w:val="22"/>
          <w:szCs w:val="22"/>
        </w:rPr>
        <w:t>LeaderOne Financial Corporation</w:t>
      </w:r>
      <w:r>
        <w:rPr>
          <w:rFonts w:asciiTheme="minorHAnsi" w:hAnsiTheme="minorHAnsi" w:cstheme="minorHAnsi"/>
          <w:b/>
          <w:color w:val="C00000"/>
          <w:sz w:val="22"/>
          <w:szCs w:val="22"/>
        </w:rPr>
        <w:tab/>
        <w:t>1992 - 2016</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Started originating mortgage loans in 1988, founded company in 1992 as a mortgage brokerage in the Kansas City area. Grew steadily and secured necessary funding to transition to mortgage banking status in 1993.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Complete P&amp;L and executive management of all aspects of mortgage firm throughout all periods of growth over 25 years. Grew company from two employees in a single office to 550 FTE in 70 locations.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Achieved milestone of $1.7 billion annual origination volu</w:t>
      </w:r>
      <w:r>
        <w:rPr>
          <w:rFonts w:cstheme="minorHAnsi"/>
          <w:bCs/>
          <w:iCs/>
          <w:color w:val="404040" w:themeColor="text1" w:themeTint="BF"/>
          <w:sz w:val="20"/>
          <w:szCs w:val="20"/>
        </w:rPr>
        <w:t xml:space="preserve">me while focusing on essential loan products and purchase money loans, avoiding non-conforming credit programs; remained healthy during national mortgage crisis.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Secured approved status with Fannie Mae, Freddie Mac, GNMA.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Developed servicing portfolio of</w:t>
      </w:r>
      <w:r>
        <w:rPr>
          <w:rFonts w:cstheme="minorHAnsi"/>
          <w:bCs/>
          <w:iCs/>
          <w:color w:val="404040" w:themeColor="text1" w:themeTint="BF"/>
          <w:sz w:val="20"/>
          <w:szCs w:val="20"/>
        </w:rPr>
        <w:t xml:space="preserve"> over $800 million, primarily in more desirable purchase money transactions.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Among the first mortgage companies in the nation to become paperless in virtually all phases of the lending process. Researched and instituted adoption of multiple technologies t</w:t>
      </w:r>
      <w:r>
        <w:rPr>
          <w:rFonts w:cstheme="minorHAnsi"/>
          <w:bCs/>
          <w:iCs/>
          <w:color w:val="404040" w:themeColor="text1" w:themeTint="BF"/>
          <w:sz w:val="20"/>
          <w:szCs w:val="20"/>
        </w:rPr>
        <w:t xml:space="preserve">o vastly reduce origination costs and improve efficiencies, years ahead of the rest of the industry.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Direct Endorsement Underwriter since 1995.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VA Underwriter since 1991.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NAMB Certified Mortgage Consultant. </w:t>
      </w:r>
    </w:p>
    <w:p w:rsidR="00E33309" w:rsidRDefault="00A67268">
      <w:pPr>
        <w:pStyle w:val="ListParagraph"/>
        <w:numPr>
          <w:ilvl w:val="1"/>
          <w:numId w:val="1"/>
        </w:numPr>
        <w:spacing w:after="120"/>
        <w:jc w:val="both"/>
        <w:rPr>
          <w:rFonts w:cstheme="minorHAnsi"/>
          <w:bCs/>
          <w:iCs/>
          <w:color w:val="404040" w:themeColor="text1" w:themeTint="BF"/>
          <w:sz w:val="20"/>
          <w:szCs w:val="20"/>
        </w:rPr>
      </w:pPr>
      <w:r>
        <w:rPr>
          <w:rFonts w:cstheme="minorHAnsi"/>
          <w:bCs/>
          <w:iCs/>
          <w:color w:val="404040" w:themeColor="text1" w:themeTint="BF"/>
          <w:sz w:val="20"/>
          <w:szCs w:val="20"/>
        </w:rPr>
        <w:t xml:space="preserve">Co-authored the first mortgage banker-broker </w:t>
      </w:r>
      <w:r>
        <w:rPr>
          <w:rFonts w:cstheme="minorHAnsi"/>
          <w:bCs/>
          <w:iCs/>
          <w:color w:val="404040" w:themeColor="text1" w:themeTint="BF"/>
          <w:sz w:val="20"/>
          <w:szCs w:val="20"/>
        </w:rPr>
        <w:t xml:space="preserve">bill in Kansas in 1995.   </w:t>
      </w:r>
    </w:p>
    <w:p w:rsidR="00E33309" w:rsidRDefault="00A67268">
      <w:pPr>
        <w:pStyle w:val="ListParagraph"/>
        <w:numPr>
          <w:ilvl w:val="1"/>
          <w:numId w:val="1"/>
        </w:numPr>
        <w:spacing w:after="120"/>
        <w:jc w:val="both"/>
        <w:rPr>
          <w:rFonts w:cstheme="minorHAnsi"/>
          <w:color w:val="404040" w:themeColor="text1" w:themeTint="BF"/>
          <w:sz w:val="20"/>
          <w:szCs w:val="20"/>
        </w:rPr>
      </w:pPr>
      <w:r>
        <w:rPr>
          <w:rFonts w:cstheme="minorHAnsi"/>
          <w:bCs/>
          <w:iCs/>
          <w:color w:val="404040" w:themeColor="text1" w:themeTint="BF"/>
          <w:sz w:val="20"/>
          <w:szCs w:val="20"/>
        </w:rPr>
        <w:t>Founded the Kansas Association of Mortgage Brokers in 1995.</w:t>
      </w:r>
      <w:r>
        <w:rPr>
          <w:rFonts w:cstheme="minorHAnsi"/>
          <w:color w:val="404040" w:themeColor="text1" w:themeTint="BF"/>
          <w:sz w:val="20"/>
          <w:szCs w:val="20"/>
        </w:rPr>
        <w:t xml:space="preserve">  </w:t>
      </w:r>
    </w:p>
    <w:p w:rsidR="00E33309" w:rsidRDefault="00E33309">
      <w:pPr>
        <w:pStyle w:val="SectionHeading"/>
        <w:jc w:val="both"/>
        <w:rPr>
          <w:rFonts w:asciiTheme="minorHAnsi" w:hAnsiTheme="minorHAnsi" w:cstheme="minorHAnsi"/>
          <w:b/>
          <w:sz w:val="10"/>
          <w:szCs w:val="10"/>
        </w:rPr>
      </w:pPr>
    </w:p>
    <w:p w:rsidR="00E33309" w:rsidRDefault="00A67268">
      <w:pPr>
        <w:spacing w:before="120" w:after="0"/>
        <w:jc w:val="both"/>
        <w:rPr>
          <w:rFonts w:ascii="Bookman Old Style" w:hAnsi="Bookman Old Style" w:hint="eastAsia"/>
          <w:b/>
          <w:caps/>
          <w:color w:val="404040" w:themeColor="text1" w:themeTint="BF"/>
          <w:sz w:val="28"/>
          <w:szCs w:val="28"/>
        </w:rPr>
      </w:pPr>
      <w:r>
        <w:rPr>
          <w:rFonts w:ascii="Bookman Old Style" w:hAnsi="Bookman Old Style"/>
          <w:b/>
          <w:caps/>
          <w:color w:val="404040" w:themeColor="text1" w:themeTint="BF"/>
          <w:sz w:val="28"/>
          <w:szCs w:val="28"/>
        </w:rPr>
        <w:t>OFFICES / AFFILIATIONS / RECOGNITION</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Freddie Mac IMB Advisory Board</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Current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MBA Residential Board of Governors</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Current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 xml:space="preserve">Member, NAMB </w:t>
      </w:r>
      <w:proofErr w:type="gramStart"/>
      <w:r>
        <w:rPr>
          <w:rFonts w:cstheme="minorHAnsi"/>
          <w:bCs/>
          <w:iCs/>
          <w:color w:val="404040" w:themeColor="text1" w:themeTint="BF"/>
          <w:sz w:val="20"/>
          <w:szCs w:val="20"/>
        </w:rPr>
        <w:t>Past</w:t>
      </w:r>
      <w:proofErr w:type="gramEnd"/>
      <w:r>
        <w:rPr>
          <w:rFonts w:cstheme="minorHAnsi"/>
          <w:bCs/>
          <w:iCs/>
          <w:color w:val="404040" w:themeColor="text1" w:themeTint="BF"/>
          <w:sz w:val="20"/>
          <w:szCs w:val="20"/>
        </w:rPr>
        <w:t xml:space="preserve"> </w:t>
      </w:r>
      <w:r>
        <w:rPr>
          <w:rFonts w:cstheme="minorHAnsi"/>
          <w:bCs/>
          <w:iCs/>
          <w:color w:val="404040" w:themeColor="text1" w:themeTint="BF"/>
          <w:sz w:val="20"/>
          <w:szCs w:val="20"/>
        </w:rPr>
        <w:t>Presidents Council</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Current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Mortgage Alliance Association (MAA)</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Current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IMB Executive Council</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Current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MBA Residential Loan Production Committee</w:t>
      </w:r>
      <w:r>
        <w:rPr>
          <w:rFonts w:cstheme="minorHAnsi"/>
          <w:bCs/>
          <w:iCs/>
          <w:color w:val="404040" w:themeColor="text1" w:themeTint="BF"/>
          <w:sz w:val="20"/>
          <w:szCs w:val="20"/>
        </w:rPr>
        <w:tab/>
      </w:r>
      <w:r>
        <w:rPr>
          <w:rFonts w:cstheme="minorHAnsi"/>
          <w:bCs/>
          <w:iCs/>
          <w:color w:val="404040" w:themeColor="text1" w:themeTint="BF"/>
          <w:sz w:val="20"/>
          <w:szCs w:val="20"/>
        </w:rPr>
        <w:tab/>
        <w:t>Current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 xml:space="preserve">President, National Association of Mortgage Brokers </w:t>
      </w:r>
      <w:r>
        <w:rPr>
          <w:rFonts w:cstheme="minorHAnsi"/>
          <w:bCs/>
          <w:iCs/>
          <w:color w:val="404040" w:themeColor="text1" w:themeTint="BF"/>
          <w:sz w:val="20"/>
          <w:szCs w:val="20"/>
        </w:rPr>
        <w:tab/>
      </w:r>
      <w:r>
        <w:rPr>
          <w:rFonts w:cstheme="minorHAnsi"/>
          <w:bCs/>
          <w:iCs/>
          <w:color w:val="404040" w:themeColor="text1" w:themeTint="BF"/>
          <w:sz w:val="20"/>
          <w:szCs w:val="20"/>
        </w:rPr>
        <w:tab/>
        <w:t>2003 – 200</w:t>
      </w:r>
      <w:r>
        <w:rPr>
          <w:rFonts w:cstheme="minorHAnsi"/>
          <w:bCs/>
          <w:iCs/>
          <w:color w:val="404040" w:themeColor="text1" w:themeTint="BF"/>
          <w:sz w:val="20"/>
          <w:szCs w:val="20"/>
        </w:rPr>
        <w:t>4</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Mortgage Bankers Association</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2004 – Present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Member Fannie Mae Housing Impact Advisory Council</w:t>
      </w:r>
      <w:r>
        <w:rPr>
          <w:rFonts w:cstheme="minorHAnsi"/>
          <w:bCs/>
          <w:iCs/>
          <w:color w:val="404040" w:themeColor="text1" w:themeTint="BF"/>
          <w:sz w:val="20"/>
          <w:szCs w:val="20"/>
        </w:rPr>
        <w:tab/>
      </w:r>
      <w:r>
        <w:rPr>
          <w:rFonts w:cstheme="minorHAnsi"/>
          <w:bCs/>
          <w:iCs/>
          <w:color w:val="404040" w:themeColor="text1" w:themeTint="BF"/>
          <w:sz w:val="20"/>
          <w:szCs w:val="20"/>
        </w:rPr>
        <w:tab/>
        <w:t>2003 – 2005</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 xml:space="preserve">Member Freddie Mac LP Advisory Council </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2004 – 2007</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Wholesale Access Board of Directors</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2000 – 2009</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NAMB Board of Directo</w:t>
      </w:r>
      <w:r>
        <w:rPr>
          <w:rFonts w:cstheme="minorHAnsi"/>
          <w:bCs/>
          <w:iCs/>
          <w:color w:val="404040" w:themeColor="text1" w:themeTint="BF"/>
          <w:sz w:val="20"/>
          <w:szCs w:val="20"/>
        </w:rPr>
        <w:t>rs</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1999 – 2005</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NAMB Delegate Council</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1995 – 1997</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Kansas Broker of the Year (Founding President of KAMB)</w:t>
      </w:r>
      <w:r>
        <w:rPr>
          <w:rFonts w:cstheme="minorHAnsi"/>
          <w:bCs/>
          <w:iCs/>
          <w:color w:val="404040" w:themeColor="text1" w:themeTint="BF"/>
          <w:sz w:val="20"/>
          <w:szCs w:val="20"/>
        </w:rPr>
        <w:tab/>
        <w:t>1999</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NAMB Central Region Broker of the Year</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1996</w:t>
      </w:r>
    </w:p>
    <w:p w:rsidR="00E33309" w:rsidRDefault="00E33309">
      <w:pPr>
        <w:pStyle w:val="SectionHeading"/>
        <w:jc w:val="both"/>
        <w:rPr>
          <w:rFonts w:asciiTheme="minorHAnsi" w:hAnsiTheme="minorHAnsi" w:cstheme="minorHAnsi"/>
          <w:b/>
          <w:sz w:val="10"/>
          <w:szCs w:val="10"/>
        </w:rPr>
      </w:pPr>
    </w:p>
    <w:p w:rsidR="00E33309" w:rsidRDefault="00A67268">
      <w:pPr>
        <w:spacing w:before="120" w:after="0"/>
        <w:jc w:val="both"/>
        <w:rPr>
          <w:rFonts w:cstheme="minorHAnsi"/>
          <w:b/>
          <w:bCs/>
          <w:i/>
          <w:iCs/>
          <w:color w:val="404040" w:themeColor="text1" w:themeTint="BF"/>
          <w:sz w:val="20"/>
          <w:szCs w:val="20"/>
        </w:rPr>
      </w:pPr>
      <w:r>
        <w:rPr>
          <w:rFonts w:ascii="Bookman Old Style" w:hAnsi="Bookman Old Style"/>
          <w:b/>
          <w:caps/>
          <w:color w:val="404040" w:themeColor="text1" w:themeTint="BF"/>
          <w:sz w:val="28"/>
          <w:szCs w:val="28"/>
        </w:rPr>
        <w:t>COMMUNITY SERVICE</w:t>
      </w:r>
    </w:p>
    <w:p w:rsidR="00E33309" w:rsidRDefault="00A67268">
      <w:pPr>
        <w:spacing w:after="0" w:line="240" w:lineRule="auto"/>
        <w:jc w:val="both"/>
        <w:rPr>
          <w:rFonts w:cstheme="minorHAnsi"/>
          <w:bCs/>
          <w:iCs/>
          <w:color w:val="404040" w:themeColor="text1" w:themeTint="BF"/>
          <w:sz w:val="20"/>
          <w:szCs w:val="20"/>
        </w:rPr>
      </w:pPr>
      <w:r>
        <w:rPr>
          <w:rFonts w:cstheme="minorHAnsi"/>
          <w:bCs/>
          <w:iCs/>
          <w:color w:val="404040" w:themeColor="text1" w:themeTint="BF"/>
          <w:sz w:val="20"/>
          <w:szCs w:val="20"/>
        </w:rPr>
        <w:lastRenderedPageBreak/>
        <w:t>•</w:t>
      </w:r>
      <w:r>
        <w:rPr>
          <w:rFonts w:cstheme="minorHAnsi"/>
          <w:bCs/>
          <w:iCs/>
          <w:color w:val="404040" w:themeColor="text1" w:themeTint="BF"/>
          <w:sz w:val="20"/>
          <w:szCs w:val="20"/>
        </w:rPr>
        <w:tab/>
        <w:t xml:space="preserve">Major, U.S. Air Force Auxiliary, Civil Air Patrol </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2008 – Prese</w:t>
      </w:r>
      <w:r>
        <w:rPr>
          <w:rFonts w:cstheme="minorHAnsi"/>
          <w:bCs/>
          <w:iCs/>
          <w:color w:val="404040" w:themeColor="text1" w:themeTint="BF"/>
          <w:sz w:val="20"/>
          <w:szCs w:val="20"/>
        </w:rPr>
        <w:t>nt</w:t>
      </w:r>
    </w:p>
    <w:p w:rsidR="00E33309" w:rsidRDefault="00A67268">
      <w:pPr>
        <w:spacing w:after="120" w:line="276" w:lineRule="auto"/>
        <w:ind w:firstLine="720"/>
        <w:jc w:val="both"/>
        <w:rPr>
          <w:rFonts w:cstheme="minorHAnsi"/>
          <w:bCs/>
          <w:iCs/>
          <w:color w:val="404040" w:themeColor="text1" w:themeTint="BF"/>
          <w:sz w:val="20"/>
          <w:szCs w:val="20"/>
        </w:rPr>
      </w:pPr>
      <w:r>
        <w:rPr>
          <w:rFonts w:cstheme="minorHAnsi"/>
          <w:bCs/>
          <w:iCs/>
          <w:color w:val="404040" w:themeColor="text1" w:themeTint="BF"/>
          <w:sz w:val="20"/>
          <w:szCs w:val="20"/>
        </w:rPr>
        <w:t>Search and Rescue Mission Pilot</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p>
    <w:p w:rsidR="00E33309" w:rsidRDefault="00A67268">
      <w:pPr>
        <w:spacing w:after="0" w:line="240"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 xml:space="preserve">Member Pilot, Angel Flight Central (provides no-cost flights </w:t>
      </w:r>
    </w:p>
    <w:p w:rsidR="00E33309" w:rsidRDefault="00A67268">
      <w:pPr>
        <w:spacing w:after="120" w:line="276" w:lineRule="auto"/>
        <w:ind w:firstLine="720"/>
        <w:jc w:val="both"/>
        <w:rPr>
          <w:rFonts w:cstheme="minorHAnsi"/>
          <w:bCs/>
          <w:iCs/>
          <w:color w:val="404040" w:themeColor="text1" w:themeTint="BF"/>
          <w:sz w:val="20"/>
          <w:szCs w:val="20"/>
        </w:rPr>
      </w:pPr>
      <w:proofErr w:type="gramStart"/>
      <w:r>
        <w:rPr>
          <w:rFonts w:cstheme="minorHAnsi"/>
          <w:bCs/>
          <w:iCs/>
          <w:color w:val="404040" w:themeColor="text1" w:themeTint="BF"/>
          <w:sz w:val="20"/>
          <w:szCs w:val="20"/>
        </w:rPr>
        <w:t>for</w:t>
      </w:r>
      <w:proofErr w:type="gramEnd"/>
      <w:r>
        <w:rPr>
          <w:rFonts w:cstheme="minorHAnsi"/>
          <w:bCs/>
          <w:iCs/>
          <w:color w:val="404040" w:themeColor="text1" w:themeTint="BF"/>
          <w:sz w:val="20"/>
          <w:szCs w:val="20"/>
        </w:rPr>
        <w:t xml:space="preserve"> medically fragile, income-qualified patients for treatment)</w:t>
      </w:r>
      <w:r>
        <w:rPr>
          <w:rFonts w:cstheme="minorHAnsi"/>
          <w:bCs/>
          <w:iCs/>
          <w:color w:val="404040" w:themeColor="text1" w:themeTint="BF"/>
          <w:sz w:val="20"/>
          <w:szCs w:val="20"/>
        </w:rPr>
        <w:tab/>
        <w:t>2009 – Present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Rotary International</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1996 – Present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The Navigators (Christian ser</w:t>
      </w:r>
      <w:r>
        <w:rPr>
          <w:rFonts w:cstheme="minorHAnsi"/>
          <w:bCs/>
          <w:iCs/>
          <w:color w:val="404040" w:themeColor="text1" w:themeTint="BF"/>
          <w:sz w:val="20"/>
          <w:szCs w:val="20"/>
        </w:rPr>
        <w:t>vice; youth guidance)</w:t>
      </w:r>
      <w:r>
        <w:rPr>
          <w:rFonts w:cstheme="minorHAnsi"/>
          <w:bCs/>
          <w:iCs/>
          <w:color w:val="404040" w:themeColor="text1" w:themeTint="BF"/>
          <w:sz w:val="20"/>
          <w:szCs w:val="20"/>
        </w:rPr>
        <w:tab/>
      </w:r>
      <w:r>
        <w:rPr>
          <w:rFonts w:cstheme="minorHAnsi"/>
          <w:bCs/>
          <w:iCs/>
          <w:color w:val="404040" w:themeColor="text1" w:themeTint="BF"/>
          <w:sz w:val="20"/>
          <w:szCs w:val="20"/>
        </w:rPr>
        <w:tab/>
        <w:t>1977 – 1991</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w:t>
      </w:r>
      <w:r>
        <w:rPr>
          <w:rFonts w:cstheme="minorHAnsi"/>
          <w:bCs/>
          <w:iCs/>
          <w:color w:val="404040" w:themeColor="text1" w:themeTint="BF"/>
          <w:sz w:val="20"/>
          <w:szCs w:val="20"/>
        </w:rPr>
        <w:tab/>
        <w:t>President/CEO, Entrepreneur Institute Inc.</w:t>
      </w:r>
      <w:r>
        <w:rPr>
          <w:rFonts w:cstheme="minorHAnsi"/>
          <w:bCs/>
          <w:iCs/>
          <w:color w:val="404040" w:themeColor="text1" w:themeTint="BF"/>
          <w:sz w:val="20"/>
          <w:szCs w:val="20"/>
        </w:rPr>
        <w:tab/>
      </w:r>
      <w:r>
        <w:rPr>
          <w:rFonts w:cstheme="minorHAnsi"/>
          <w:bCs/>
          <w:iCs/>
          <w:color w:val="404040" w:themeColor="text1" w:themeTint="BF"/>
          <w:sz w:val="20"/>
          <w:szCs w:val="20"/>
        </w:rPr>
        <w:tab/>
      </w:r>
      <w:r>
        <w:rPr>
          <w:rFonts w:cstheme="minorHAnsi"/>
          <w:bCs/>
          <w:iCs/>
          <w:color w:val="404040" w:themeColor="text1" w:themeTint="BF"/>
          <w:sz w:val="20"/>
          <w:szCs w:val="20"/>
        </w:rPr>
        <w:tab/>
        <w:t>2016 – Present</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ab/>
        <w:t>www.eiionline.org</w:t>
      </w:r>
    </w:p>
    <w:p w:rsidR="00E33309" w:rsidRDefault="00A67268">
      <w:pPr>
        <w:spacing w:after="120" w:line="276" w:lineRule="auto"/>
        <w:jc w:val="both"/>
        <w:rPr>
          <w:rFonts w:cstheme="minorHAnsi"/>
          <w:bCs/>
          <w:iCs/>
          <w:color w:val="404040" w:themeColor="text1" w:themeTint="BF"/>
          <w:sz w:val="20"/>
          <w:szCs w:val="20"/>
        </w:rPr>
      </w:pPr>
      <w:r>
        <w:rPr>
          <w:rFonts w:cstheme="minorHAnsi"/>
          <w:bCs/>
          <w:iCs/>
          <w:color w:val="404040" w:themeColor="text1" w:themeTint="BF"/>
          <w:sz w:val="20"/>
          <w:szCs w:val="20"/>
        </w:rPr>
        <w:tab/>
      </w:r>
    </w:p>
    <w:p w:rsidR="00E33309" w:rsidRDefault="00E33309">
      <w:pPr>
        <w:pStyle w:val="SectionHeading"/>
        <w:jc w:val="both"/>
      </w:pPr>
    </w:p>
    <w:sectPr w:rsidR="00E33309">
      <w:headerReference w:type="default" r:id="rId11"/>
      <w:footerReference w:type="default" r:id="rId12"/>
      <w:pgSz w:w="12240" w:h="15840"/>
      <w:pgMar w:top="1363" w:right="1080" w:bottom="1080" w:left="1080" w:header="1080" w:footer="576"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7268">
      <w:pPr>
        <w:spacing w:after="0" w:line="240" w:lineRule="auto"/>
      </w:pPr>
      <w:r>
        <w:separator/>
      </w:r>
    </w:p>
  </w:endnote>
  <w:endnote w:type="continuationSeparator" w:id="0">
    <w:p w:rsidR="00000000" w:rsidRDefault="00A6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ourceSansPro;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09" w:rsidRDefault="00A67268">
    <w:pPr>
      <w:pStyle w:val="Header"/>
    </w:pPr>
    <w:r>
      <w:rPr>
        <w:noProof/>
      </w:rPr>
      <mc:AlternateContent>
        <mc:Choice Requires="wps">
          <w:drawing>
            <wp:anchor distT="0" distB="0" distL="114300" distR="114300" simplePos="0" relativeHeight="3" behindDoc="1" locked="0" layoutInCell="1" allowOverlap="1" wp14:anchorId="7AB34D0F">
              <wp:simplePos x="0" y="0"/>
              <wp:positionH relativeFrom="margin">
                <wp:align>center</wp:align>
              </wp:positionH>
              <wp:positionV relativeFrom="margin">
                <wp:align>center</wp:align>
              </wp:positionV>
              <wp:extent cx="6838315" cy="9446895"/>
              <wp:effectExtent l="0" t="0" r="3175" b="8255"/>
              <wp:wrapNone/>
              <wp:docPr id="4" name="Rectangle 4"/>
              <wp:cNvGraphicFramePr/>
              <a:graphic xmlns:a="http://schemas.openxmlformats.org/drawingml/2006/main">
                <a:graphicData uri="http://schemas.microsoft.com/office/word/2010/wordprocessingShape">
                  <wps:wsp>
                    <wps:cNvSpPr/>
                    <wps:spPr>
                      <a:xfrm>
                        <a:off x="0" y="0"/>
                        <a:ext cx="6837840" cy="944640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107000</wp14:pctWidth>
              </wp14:sizeRelH>
              <wp14:sizeRelV relativeFrom="margin">
                <wp14:pctHeight>105000</wp14:pctHeight>
              </wp14:sizeRelV>
            </wp:anchor>
          </w:drawing>
        </mc:Choice>
        <mc:Fallback>
          <w:pict>
            <v:rect id="shape_0" ID="Rectangle 4" stroked="t" style="position:absolute;margin-left:-17.2pt;margin-top:-37.05pt;width:538.35pt;height:743.75pt;mso-position-horizontal:center;mso-position-horizontal-relative:margin;mso-position-vertical:center;mso-position-vertical-relative:margin" wp14:anchorId="7AB34D0F">
              <w10:wrap type="none"/>
              <v:fill o:detectmouseclick="t" on="false"/>
              <v:stroke color="black" weight="9360" joinstyle="miter" endcap="flat"/>
            </v:rect>
          </w:pict>
        </mc:Fallback>
      </mc:AlternateContent>
    </w:r>
    <w:r>
      <w:rPr>
        <w:noProof/>
      </w:rPr>
      <mc:AlternateContent>
        <mc:Choice Requires="wps">
          <w:drawing>
            <wp:anchor distT="0" distB="0" distL="114300" distR="114300" simplePos="0" relativeHeight="5" behindDoc="1" locked="0" layoutInCell="1" allowOverlap="1" wp14:anchorId="5962D62D">
              <wp:simplePos x="0" y="0"/>
              <wp:positionH relativeFrom="page">
                <wp:posOffset>7182485</wp:posOffset>
              </wp:positionH>
              <wp:positionV relativeFrom="page">
                <wp:posOffset>468630</wp:posOffset>
              </wp:positionV>
              <wp:extent cx="127635" cy="6574790"/>
              <wp:effectExtent l="0" t="0" r="0" b="0"/>
              <wp:wrapNone/>
              <wp:docPr id="5" name="Rectangle 5"/>
              <wp:cNvGraphicFramePr/>
              <a:graphic xmlns:a="http://schemas.openxmlformats.org/drawingml/2006/main">
                <a:graphicData uri="http://schemas.microsoft.com/office/word/2010/wordprocessingShape">
                  <wps:wsp>
                    <wps:cNvSpPr/>
                    <wps:spPr>
                      <a:xfrm>
                        <a:off x="0" y="0"/>
                        <a:ext cx="127080" cy="6574320"/>
                      </a:xfrm>
                      <a:prstGeom prst="rect">
                        <a:avLst/>
                      </a:prstGeom>
                      <a:solidFill>
                        <a:schemeClr val="tx1">
                          <a:lumMod val="100000"/>
                          <a:lumOff val="0"/>
                        </a:schemeClr>
                      </a:solidFill>
                      <a:ln>
                        <a:noFill/>
                      </a:ln>
                    </wps:spPr>
                    <wps:style>
                      <a:lnRef idx="0">
                        <a:scrgbClr r="0" g="0" b="0"/>
                      </a:lnRef>
                      <a:fillRef idx="0">
                        <a:scrgbClr r="0" g="0" b="0"/>
                      </a:fillRef>
                      <a:effectRef idx="0">
                        <a:scrgbClr r="0" g="0" b="0"/>
                      </a:effectRef>
                      <a:fontRef idx="minor"/>
                    </wps:style>
                    <wps:bodyPr/>
                  </wps:wsp>
                </a:graphicData>
              </a:graphic>
              <wp14:sizeRelH relativeFrom="margin">
                <wp14:pctWidth>2000</wp14:pctWidth>
              </wp14:sizeRelH>
              <wp14:sizeRelV relativeFrom="margin">
                <wp14:pctHeight>73000</wp14:pctHeight>
              </wp14:sizeRelV>
            </wp:anchor>
          </w:drawing>
        </mc:Choice>
        <mc:Fallback>
          <w:pict>
            <v:rect id="shape_0" ID="Rectangle 5" fillcolor="black" stroked="f" style="position:absolute;margin-left:565.55pt;margin-top:36.9pt;width:9.95pt;height:517.6pt;mso-position-horizontal-relative:page;mso-position-vertical-relative:page" wp14:anchorId="5962D62D">
              <w10:wrap type="none"/>
              <v:fill o:detectmouseclick="t" type="solid" color2="white"/>
              <v:stroke color="#3465a4" joinstyle="round" endcap="flat"/>
            </v:rect>
          </w:pict>
        </mc:Fallback>
      </mc:AlternateContent>
    </w:r>
    <w:r>
      <w:rPr>
        <w:noProof/>
      </w:rPr>
      <mc:AlternateContent>
        <mc:Choice Requires="wps">
          <w:drawing>
            <wp:anchor distT="0" distB="0" distL="114300" distR="114300" simplePos="0" relativeHeight="7" behindDoc="1" locked="0" layoutInCell="1" allowOverlap="1" wp14:anchorId="2D70BD8C">
              <wp:simplePos x="0" y="0"/>
              <wp:positionH relativeFrom="page">
                <wp:posOffset>7182485</wp:posOffset>
              </wp:positionH>
              <wp:positionV relativeFrom="page">
                <wp:posOffset>6766560</wp:posOffset>
              </wp:positionV>
              <wp:extent cx="127635" cy="2971800"/>
              <wp:effectExtent l="0" t="0" r="0" b="0"/>
              <wp:wrapNone/>
              <wp:docPr id="6" name="Rectangle 6"/>
              <wp:cNvGraphicFramePr/>
              <a:graphic xmlns:a="http://schemas.openxmlformats.org/drawingml/2006/main">
                <a:graphicData uri="http://schemas.microsoft.com/office/word/2010/wordprocessingShape">
                  <wps:wsp>
                    <wps:cNvSpPr/>
                    <wps:spPr>
                      <a:xfrm>
                        <a:off x="0" y="0"/>
                        <a:ext cx="127080" cy="2971080"/>
                      </a:xfrm>
                      <a:prstGeom prst="rect">
                        <a:avLst/>
                      </a:prstGeom>
                      <a:solidFill>
                        <a:schemeClr val="tx2">
                          <a:lumMod val="100000"/>
                          <a:lumOff val="0"/>
                        </a:schemeClr>
                      </a:solidFill>
                      <a:ln>
                        <a:noFill/>
                      </a:ln>
                    </wps:spPr>
                    <wps:style>
                      <a:lnRef idx="0">
                        <a:scrgbClr r="0" g="0" b="0"/>
                      </a:lnRef>
                      <a:fillRef idx="0">
                        <a:scrgbClr r="0" g="0" b="0"/>
                      </a:fillRef>
                      <a:effectRef idx="0">
                        <a:scrgbClr r="0" g="0" b="0"/>
                      </a:effectRef>
                      <a:fontRef idx="minor"/>
                    </wps:style>
                    <wps:bodyPr/>
                  </wps:wsp>
                </a:graphicData>
              </a:graphic>
              <wp14:sizeRelH relativeFrom="margin">
                <wp14:pctWidth>2000</wp14:pctWidth>
              </wp14:sizeRelH>
              <wp14:sizeRelV relativeFrom="margin">
                <wp14:pctHeight>33000</wp14:pctHeight>
              </wp14:sizeRelV>
            </wp:anchor>
          </w:drawing>
        </mc:Choice>
        <mc:Fallback>
          <w:pict>
            <v:rect id="shape_0" ID="Rectangle 6" fillcolor="#d1282e" stroked="f" style="position:absolute;margin-left:565.55pt;margin-top:532.8pt;width:9.95pt;height:233.9pt;mso-position-horizontal-relative:page;mso-position-vertical-relative:page" wp14:anchorId="2D70BD8C">
              <w10:wrap type="none"/>
              <v:fill o:detectmouseclick="t" type="solid" color2="#2ed7d1"/>
              <v:stroke color="#3465a4" joinstyle="round" endcap="flat"/>
            </v:rect>
          </w:pict>
        </mc:Fallback>
      </mc:AlternateContent>
    </w:r>
  </w:p>
  <w:p w:rsidR="00E33309" w:rsidRDefault="00A67268">
    <w:pPr>
      <w:pStyle w:val="Footer"/>
    </w:pPr>
    <w:r>
      <w:rPr>
        <w:noProof/>
      </w:rPr>
      <mc:AlternateContent>
        <mc:Choice Requires="wps">
          <w:drawing>
            <wp:anchor distT="0" distB="0" distL="114300" distR="114300" simplePos="0" relativeHeight="9" behindDoc="1" locked="0" layoutInCell="1" allowOverlap="1" wp14:anchorId="64C9924C">
              <wp:simplePos x="0" y="0"/>
              <wp:positionH relativeFrom="page">
                <wp:posOffset>6894195</wp:posOffset>
              </wp:positionH>
              <wp:positionV relativeFrom="page">
                <wp:posOffset>6766560</wp:posOffset>
              </wp:positionV>
              <wp:extent cx="320040" cy="1864995"/>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319320" cy="1864440"/>
                      </a:xfrm>
                      <a:prstGeom prst="rect">
                        <a:avLst/>
                      </a:prstGeom>
                      <a:noFill/>
                      <a:ln w="6480">
                        <a:noFill/>
                      </a:ln>
                    </wps:spPr>
                    <wps:style>
                      <a:lnRef idx="0">
                        <a:scrgbClr r="0" g="0" b="0"/>
                      </a:lnRef>
                      <a:fillRef idx="0">
                        <a:scrgbClr r="0" g="0" b="0"/>
                      </a:fillRef>
                      <a:effectRef idx="0">
                        <a:scrgbClr r="0" g="0" b="0"/>
                      </a:effectRef>
                      <a:fontRef idx="minor"/>
                    </wps:style>
                    <wps:txbx>
                      <w:txbxContent>
                        <w:p w:rsidR="00E33309" w:rsidRDefault="00A67268">
                          <w:pPr>
                            <w:pStyle w:val="Title"/>
                            <w:rPr>
                              <w:rFonts w:ascii="Bookman Old Style" w:hAnsi="Bookman Old Style" w:hint="eastAsia"/>
                              <w:b/>
                              <w:color w:val="404040" w:themeColor="text1" w:themeTint="BF"/>
                              <w:spacing w:val="10"/>
                              <w:sz w:val="28"/>
                              <w:szCs w:val="28"/>
                            </w:rPr>
                          </w:pPr>
                          <w:r>
                            <w:rPr>
                              <w:rFonts w:ascii="Bookman Old Style" w:hAnsi="Bookman Old Style"/>
                              <w:b/>
                              <w:color w:val="404040" w:themeColor="text1" w:themeTint="BF"/>
                              <w:spacing w:val="10"/>
                              <w:sz w:val="28"/>
                              <w:szCs w:val="28"/>
                            </w:rPr>
                            <w:t>A.W. Pickel, III, CMC</w:t>
                          </w:r>
                        </w:p>
                      </w:txbxContent>
                    </wps:txbx>
                    <wps:bodyPr lIns="0" tIns="0" rIns="0" bIns="0">
                      <a:prstTxWarp prst="textNoShape">
                        <a:avLst/>
                      </a:prstTxWarp>
                      <a:spAutoFit/>
                    </wps:bodyPr>
                  </wps:wsp>
                </a:graphicData>
              </a:graphic>
              <wp14:sizeRelH relativeFrom="margin">
                <wp14:pctWidth>5000</wp14:pctWidth>
              </wp14:sizeRelH>
              <wp14:sizeRelV relativeFrom="margin">
                <wp14:pctHeight>33000</wp14:pctHeight>
              </wp14:sizeRelV>
            </wp:anchor>
          </w:drawing>
        </mc:Choice>
        <mc:Fallback>
          <w:pict>
            <v:rect id="shape_0" ID="Text Box 7" stroked="f" style="position:absolute;margin-left:542.85pt;margin-top:532.8pt;width:25.1pt;height:146.75pt;mso-position-horizontal-relative:page;mso-position-vertical-relative:page" wp14:anchorId="64C9924C">
              <w10:wrap type="square"/>
              <v:fill o:detectmouseclick="t" on="false"/>
              <v:stroke color="#3465a4" weight="6480" joinstyle="round" endcap="flat"/>
              <v:textbox>
                <w:txbxContent>
                  <w:p>
                    <w:pPr>
                      <w:pStyle w:val="Title"/>
                      <w:spacing w:lineRule="auto" w:line="240" w:before="360" w:after="60"/>
                      <w:contextualSpacing/>
                      <w:rPr>
                        <w:rFonts w:ascii="Bookman Old Style" w:hAnsi="Bookman Old Style"/>
                        <w:b/>
                        <w:b/>
                        <w:color w:val="404040" w:themeColor="text1" w:themeTint="bf"/>
                        <w:spacing w:val="10"/>
                        <w:sz w:val="28"/>
                        <w:szCs w:val="28"/>
                      </w:rPr>
                    </w:pPr>
                    <w:r>
                      <w:rPr>
                        <w:rFonts w:ascii="Bookman Old Style" w:hAnsi="Bookman Old Style"/>
                        <w:b/>
                        <w:color w:val="404040" w:themeColor="text1" w:themeTint="bf"/>
                        <w:spacing w:val="10"/>
                        <w:sz w:val="28"/>
                        <w:szCs w:val="28"/>
                      </w:rPr>
                      <w:t>A.W. Pickel, III, CMC</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7268">
      <w:pPr>
        <w:spacing w:after="0" w:line="240" w:lineRule="auto"/>
      </w:pPr>
      <w:r>
        <w:separator/>
      </w:r>
    </w:p>
  </w:footnote>
  <w:footnote w:type="continuationSeparator" w:id="0">
    <w:p w:rsidR="00000000" w:rsidRDefault="00A672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09" w:rsidRDefault="00A67268">
    <w:pPr>
      <w:pStyle w:val="Header"/>
    </w:pPr>
    <w:r>
      <w:rPr>
        <w:noProof/>
      </w:rPr>
      <mc:AlternateContent>
        <mc:Choice Requires="wps">
          <w:drawing>
            <wp:anchor distT="0" distB="0" distL="114300" distR="114300" simplePos="0" relativeHeight="10" behindDoc="1" locked="0" layoutInCell="1" allowOverlap="1" wp14:anchorId="6F43DEB6">
              <wp:simplePos x="0" y="0"/>
              <wp:positionH relativeFrom="margin">
                <wp:align>center</wp:align>
              </wp:positionH>
              <wp:positionV relativeFrom="margin">
                <wp:align>center</wp:align>
              </wp:positionV>
              <wp:extent cx="6838315" cy="9446895"/>
              <wp:effectExtent l="0" t="0" r="3175" b="8255"/>
              <wp:wrapNone/>
              <wp:docPr id="1" name="Rectangle 1"/>
              <wp:cNvGraphicFramePr/>
              <a:graphic xmlns:a="http://schemas.openxmlformats.org/drawingml/2006/main">
                <a:graphicData uri="http://schemas.microsoft.com/office/word/2010/wordprocessingShape">
                  <wps:wsp>
                    <wps:cNvSpPr/>
                    <wps:spPr>
                      <a:xfrm>
                        <a:off x="0" y="0"/>
                        <a:ext cx="6837840" cy="9446400"/>
                      </a:xfrm>
                      <a:prstGeom prst="rect">
                        <a:avLst/>
                      </a:prstGeom>
                      <a:noFill/>
                      <a:ln w="93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107000</wp14:pctWidth>
              </wp14:sizeRelH>
              <wp14:sizeRelV relativeFrom="margin">
                <wp14:pctHeight>105000</wp14:pctHeight>
              </wp14:sizeRelV>
            </wp:anchor>
          </w:drawing>
        </mc:Choice>
        <mc:Fallback>
          <w:pict>
            <v:rect id="shape_0" ID="Rectangle 1" stroked="t" style="position:absolute;margin-left:-17.2pt;margin-top:-29.95pt;width:538.35pt;height:743.75pt;mso-position-horizontal:center;mso-position-horizontal-relative:margin;mso-position-vertical:center;mso-position-vertical-relative:margin" wp14:anchorId="6F43DEB6">
              <w10:wrap type="none"/>
              <v:fill o:detectmouseclick="t" on="false"/>
              <v:stroke color="black" weight="9360" joinstyle="miter" endcap="flat"/>
            </v:rect>
          </w:pict>
        </mc:Fallback>
      </mc:AlternateContent>
    </w:r>
    <w:r>
      <w:rPr>
        <w:noProof/>
      </w:rPr>
      <mc:AlternateContent>
        <mc:Choice Requires="wps">
          <w:drawing>
            <wp:anchor distT="0" distB="0" distL="114300" distR="114300" simplePos="0" relativeHeight="11" behindDoc="1" locked="0" layoutInCell="1" allowOverlap="1" wp14:anchorId="0A11D133">
              <wp:simplePos x="0" y="0"/>
              <wp:positionH relativeFrom="page">
                <wp:posOffset>7182485</wp:posOffset>
              </wp:positionH>
              <wp:positionV relativeFrom="page">
                <wp:posOffset>468630</wp:posOffset>
              </wp:positionV>
              <wp:extent cx="127635" cy="6574790"/>
              <wp:effectExtent l="0" t="0" r="0" b="0"/>
              <wp:wrapNone/>
              <wp:docPr id="2" name="Rectangle 2"/>
              <wp:cNvGraphicFramePr/>
              <a:graphic xmlns:a="http://schemas.openxmlformats.org/drawingml/2006/main">
                <a:graphicData uri="http://schemas.microsoft.com/office/word/2010/wordprocessingShape">
                  <wps:wsp>
                    <wps:cNvSpPr/>
                    <wps:spPr>
                      <a:xfrm>
                        <a:off x="0" y="0"/>
                        <a:ext cx="127080" cy="6574320"/>
                      </a:xfrm>
                      <a:prstGeom prst="rect">
                        <a:avLst/>
                      </a:prstGeom>
                      <a:solidFill>
                        <a:schemeClr val="tx1">
                          <a:lumMod val="100000"/>
                          <a:lumOff val="0"/>
                        </a:schemeClr>
                      </a:solidFill>
                      <a:ln>
                        <a:noFill/>
                      </a:ln>
                    </wps:spPr>
                    <wps:style>
                      <a:lnRef idx="0">
                        <a:scrgbClr r="0" g="0" b="0"/>
                      </a:lnRef>
                      <a:fillRef idx="0">
                        <a:scrgbClr r="0" g="0" b="0"/>
                      </a:fillRef>
                      <a:effectRef idx="0">
                        <a:scrgbClr r="0" g="0" b="0"/>
                      </a:effectRef>
                      <a:fontRef idx="minor"/>
                    </wps:style>
                    <wps:bodyPr/>
                  </wps:wsp>
                </a:graphicData>
              </a:graphic>
              <wp14:sizeRelH relativeFrom="margin">
                <wp14:pctWidth>2000</wp14:pctWidth>
              </wp14:sizeRelH>
              <wp14:sizeRelV relativeFrom="margin">
                <wp14:pctHeight>73000</wp14:pctHeight>
              </wp14:sizeRelV>
            </wp:anchor>
          </w:drawing>
        </mc:Choice>
        <mc:Fallback>
          <w:pict>
            <v:rect id="shape_0" ID="Rectangle 2" fillcolor="black" stroked="f" style="position:absolute;margin-left:565.55pt;margin-top:36.9pt;width:9.95pt;height:517.6pt;mso-position-horizontal-relative:page;mso-position-vertical-relative:page" wp14:anchorId="0A11D133">
              <w10:wrap type="none"/>
              <v:fill o:detectmouseclick="t" type="solid" color2="white"/>
              <v:stroke color="#3465a4" joinstyle="round" endcap="flat"/>
            </v:rect>
          </w:pict>
        </mc:Fallback>
      </mc:AlternateContent>
    </w:r>
    <w:r>
      <w:rPr>
        <w:noProof/>
      </w:rPr>
      <mc:AlternateContent>
        <mc:Choice Requires="wps">
          <w:drawing>
            <wp:anchor distT="0" distB="0" distL="114300" distR="114300" simplePos="0" relativeHeight="12" behindDoc="1" locked="0" layoutInCell="1" allowOverlap="1" wp14:anchorId="76E490D9">
              <wp:simplePos x="0" y="0"/>
              <wp:positionH relativeFrom="page">
                <wp:posOffset>7182485</wp:posOffset>
              </wp:positionH>
              <wp:positionV relativeFrom="page">
                <wp:posOffset>6766560</wp:posOffset>
              </wp:positionV>
              <wp:extent cx="127635" cy="2971800"/>
              <wp:effectExtent l="0" t="0" r="0" b="0"/>
              <wp:wrapNone/>
              <wp:docPr id="3" name="Rectangle 3"/>
              <wp:cNvGraphicFramePr/>
              <a:graphic xmlns:a="http://schemas.openxmlformats.org/drawingml/2006/main">
                <a:graphicData uri="http://schemas.microsoft.com/office/word/2010/wordprocessingShape">
                  <wps:wsp>
                    <wps:cNvSpPr/>
                    <wps:spPr>
                      <a:xfrm>
                        <a:off x="0" y="0"/>
                        <a:ext cx="127080" cy="2971080"/>
                      </a:xfrm>
                      <a:prstGeom prst="rect">
                        <a:avLst/>
                      </a:prstGeom>
                      <a:solidFill>
                        <a:schemeClr val="tx2">
                          <a:lumMod val="100000"/>
                          <a:lumOff val="0"/>
                        </a:schemeClr>
                      </a:solidFill>
                      <a:ln>
                        <a:noFill/>
                      </a:ln>
                    </wps:spPr>
                    <wps:style>
                      <a:lnRef idx="0">
                        <a:scrgbClr r="0" g="0" b="0"/>
                      </a:lnRef>
                      <a:fillRef idx="0">
                        <a:scrgbClr r="0" g="0" b="0"/>
                      </a:fillRef>
                      <a:effectRef idx="0">
                        <a:scrgbClr r="0" g="0" b="0"/>
                      </a:effectRef>
                      <a:fontRef idx="minor"/>
                    </wps:style>
                    <wps:bodyPr/>
                  </wps:wsp>
                </a:graphicData>
              </a:graphic>
              <wp14:sizeRelH relativeFrom="margin">
                <wp14:pctWidth>2000</wp14:pctWidth>
              </wp14:sizeRelH>
              <wp14:sizeRelV relativeFrom="margin">
                <wp14:pctHeight>33000</wp14:pctHeight>
              </wp14:sizeRelV>
            </wp:anchor>
          </w:drawing>
        </mc:Choice>
        <mc:Fallback>
          <w:pict>
            <v:rect id="shape_0" ID="Rectangle 3" fillcolor="#d1282e" stroked="f" style="position:absolute;margin-left:565.55pt;margin-top:532.8pt;width:9.95pt;height:233.9pt;mso-position-horizontal-relative:page;mso-position-vertical-relative:page" wp14:anchorId="76E490D9">
              <w10:wrap type="none"/>
              <v:fill o:detectmouseclick="t" type="solid" color2="#2ed7d1"/>
              <v:stroke color="#3465a4" joinstyle="round" endcap="flat"/>
            </v:rect>
          </w:pict>
        </mc:Fallback>
      </mc:AlternateContent>
    </w:r>
  </w:p>
  <w:p w:rsidR="00E33309" w:rsidRDefault="00E333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309" w:rsidRDefault="00E333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2282F"/>
    <w:multiLevelType w:val="multilevel"/>
    <w:tmpl w:val="95D4741E"/>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cs="Open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3122CBA"/>
    <w:multiLevelType w:val="multilevel"/>
    <w:tmpl w:val="28E2E2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09"/>
    <w:rsid w:val="0042393E"/>
    <w:rsid w:val="00A67268"/>
    <w:rsid w:val="00E33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F622C-CC1A-4869-9E9D-47133EF7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B48"/>
    <w:pPr>
      <w:spacing w:after="200"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qFormat/>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qFormat/>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qFormat/>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5B5B5B" w:themeColor="accent1" w:themeShade="BF"/>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000000" w:themeColor="text1"/>
      <w:spacing w:val="-20"/>
      <w:kern w:val="2"/>
      <w:sz w:val="7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QuoteChar">
    <w:name w:val="Quote Char"/>
    <w:basedOn w:val="DefaultParagraphFont"/>
    <w:link w:val="Quote"/>
    <w:uiPriority w:val="29"/>
    <w:qFormat/>
    <w:rPr>
      <w:i/>
      <w:iCs/>
      <w:color w:val="7A7A7A" w:themeColor="accent1"/>
      <w:sz w:val="28"/>
    </w:rPr>
  </w:style>
  <w:style w:type="character" w:customStyle="1" w:styleId="IntenseQuoteChar">
    <w:name w:val="Intense Quote Char"/>
    <w:basedOn w:val="DefaultParagraphFont"/>
    <w:link w:val="IntenseQuote"/>
    <w:uiPriority w:val="30"/>
    <w:qFormat/>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character" w:styleId="PlaceholderText">
    <w:name w:val="Placeholder Text"/>
    <w:basedOn w:val="DefaultParagraphFont"/>
    <w:uiPriority w:val="99"/>
    <w:qFormat/>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NoSpacingChar">
    <w:name w:val="No Spacing Char"/>
    <w:basedOn w:val="DefaultParagraphFont"/>
    <w:link w:val="NoSpacing"/>
    <w:uiPriority w:val="1"/>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SimHei" w:cs="Arial"/>
      <w:b/>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next w:val="Normal"/>
    <w:uiPriority w:val="35"/>
    <w:semiHidden/>
    <w:unhideWhenUsed/>
    <w:qFormat/>
    <w:pPr>
      <w:spacing w:line="240" w:lineRule="auto"/>
    </w:pPr>
    <w:rPr>
      <w:bCs/>
      <w:caps/>
      <w:color w:val="7A7A7A" w:themeColor="accent1"/>
      <w:sz w:val="18"/>
      <w:szCs w:val="18"/>
    </w:rPr>
  </w:style>
  <w:style w:type="paragraph" w:customStyle="1" w:styleId="Index">
    <w:name w:val="Index"/>
    <w:basedOn w:val="Normal"/>
    <w:qFormat/>
    <w:pPr>
      <w:suppressLineNumbers/>
    </w:p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
      <w:sz w:val="72"/>
      <w:szCs w:val="52"/>
    </w:rPr>
  </w:style>
  <w:style w:type="paragraph" w:styleId="Subtitle">
    <w:name w:val="Subtitle"/>
    <w:basedOn w:val="Normal"/>
    <w:next w:val="Normal"/>
    <w:link w:val="SubtitleChar"/>
    <w:uiPriority w:val="11"/>
    <w:qFormat/>
    <w:rPr>
      <w:rFonts w:asciiTheme="majorHAnsi" w:eastAsiaTheme="majorEastAsia" w:hAnsiTheme="majorHAnsi" w:cstheme="majorBidi"/>
      <w:iCs/>
      <w:caps/>
      <w:color w:val="D1282E" w:themeColor="text2"/>
      <w:sz w:val="36"/>
      <w:szCs w:val="24"/>
    </w:rPr>
  </w:style>
  <w:style w:type="paragraph" w:styleId="NoSpacing">
    <w:name w:val="No Spacing"/>
    <w:link w:val="NoSpacingChar"/>
    <w:uiPriority w:val="1"/>
    <w:qFormat/>
  </w:style>
  <w:style w:type="paragraph" w:styleId="Quote">
    <w:name w:val="Quote"/>
    <w:basedOn w:val="Normal"/>
    <w:next w:val="Normal"/>
    <w:link w:val="QuoteChar"/>
    <w:uiPriority w:val="29"/>
    <w:qFormat/>
    <w:pPr>
      <w:spacing w:line="360" w:lineRule="auto"/>
    </w:pPr>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bottom w:val="single" w:sz="18" w:space="5" w:color="D1282E"/>
      </w:pBdr>
      <w:spacing w:before="200" w:after="280" w:line="360" w:lineRule="auto"/>
    </w:pPr>
    <w:rPr>
      <w:b/>
      <w:bCs/>
      <w:i/>
      <w:iCs/>
      <w:color w:val="7F7F7F" w:themeColor="text1" w:themeTint="80"/>
      <w:sz w:val="26"/>
    </w:rPr>
  </w:style>
  <w:style w:type="paragraph" w:styleId="TOCHeading">
    <w:name w:val="TOC Heading"/>
    <w:basedOn w:val="Heading1"/>
    <w:next w:val="Normal"/>
    <w:uiPriority w:val="39"/>
    <w:semiHidden/>
    <w:unhideWhenUsed/>
    <w:qFormat/>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customStyle="1" w:styleId="SectionHeading">
    <w:name w:val="Section Heading"/>
    <w:basedOn w:val="Heading1"/>
    <w:next w:val="Normal"/>
    <w:qFormat/>
    <w:pPr>
      <w:spacing w:before="120"/>
    </w:pPr>
  </w:style>
  <w:style w:type="paragraph" w:customStyle="1" w:styleId="Subsection">
    <w:name w:val="Subsection"/>
    <w:basedOn w:val="Heading2"/>
    <w:qFormat/>
    <w:rPr>
      <w:b w:val="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ersonalName">
    <w:name w:val="Personal Name"/>
    <w:basedOn w:val="Title"/>
    <w:qFormat/>
    <w:rPr>
      <w:sz w:val="48"/>
    </w:rPr>
  </w:style>
  <w:style w:type="paragraph" w:customStyle="1" w:styleId="FrameContents">
    <w:name w:val="Frame Contents"/>
    <w:basedOn w:val="Normal"/>
    <w:qFormat/>
  </w:style>
  <w:style w:type="table" w:customStyle="1" w:styleId="Style1">
    <w:name w:val="Style1"/>
    <w:basedOn w:val="TableNormal"/>
    <w:uiPriority w:val="99"/>
    <w:tblPr/>
    <w:tblStylePr w:type="firstRow">
      <w:rPr>
        <w:b/>
        <w:sz w:val="3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ourceSansPro;sans-serif">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155"/>
    <w:rsid w:val="000C389E"/>
    <w:rsid w:val="0024511A"/>
    <w:rsid w:val="0027025B"/>
    <w:rsid w:val="002A1B4C"/>
    <w:rsid w:val="00332BDD"/>
    <w:rsid w:val="00535EEA"/>
    <w:rsid w:val="00692472"/>
    <w:rsid w:val="0087596E"/>
    <w:rsid w:val="009D0155"/>
    <w:rsid w:val="009D6423"/>
    <w:rsid w:val="00E8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08CEF962DB8449BCA4D6022C8C3A111B">
    <w:name w:val="08CEF962DB8449BCA4D6022C8C3A111B"/>
  </w:style>
  <w:style w:type="paragraph" w:customStyle="1" w:styleId="54901642BEBC485C9C7EC293C7CACE9F">
    <w:name w:val="54901642BEBC485C9C7EC293C7CACE9F"/>
  </w:style>
  <w:style w:type="paragraph" w:customStyle="1" w:styleId="E2B415A5BF5E40BDB0D2010BB081ACD8">
    <w:name w:val="E2B415A5BF5E40BDB0D2010BB081ACD8"/>
  </w:style>
  <w:style w:type="paragraph" w:customStyle="1" w:styleId="DA8053FCD1C04700AA77C0A5BC0C5B03">
    <w:name w:val="DA8053FCD1C04700AA77C0A5BC0C5B03"/>
  </w:style>
  <w:style w:type="paragraph" w:customStyle="1" w:styleId="30A647F0325A4A20A20E5C4EBAD30372">
    <w:name w:val="30A647F0325A4A20A20E5C4EBAD30372"/>
  </w:style>
  <w:style w:type="paragraph" w:customStyle="1" w:styleId="D6027741437048A98164F41AFD745C87">
    <w:name w:val="D6027741437048A98164F41AFD745C87"/>
  </w:style>
  <w:style w:type="paragraph" w:customStyle="1" w:styleId="5D285C8AE43B4F2DB2BB487604DA4423">
    <w:name w:val="5D285C8AE43B4F2DB2BB487604DA4423"/>
  </w:style>
  <w:style w:type="paragraph" w:customStyle="1" w:styleId="6C3F3842D14740B594CE56F018CA66B7">
    <w:name w:val="6C3F3842D14740B594CE56F018CA66B7"/>
  </w:style>
  <w:style w:type="paragraph" w:customStyle="1" w:styleId="8E9BBD6712A34D19A0E87FECECA22887">
    <w:name w:val="8E9BBD6712A34D19A0E87FECECA22887"/>
  </w:style>
  <w:style w:type="character" w:styleId="IntenseEmphasis">
    <w:name w:val="Intense Emphasis"/>
    <w:aliases w:val="Subsection Intense Emphasis"/>
    <w:basedOn w:val="DefaultParagraphFont"/>
    <w:uiPriority w:val="21"/>
    <w:qFormat/>
    <w:rPr>
      <w:b/>
      <w:bCs/>
      <w:i/>
      <w:iCs/>
      <w:color w:val="44546A" w:themeColor="text2"/>
    </w:rPr>
  </w:style>
  <w:style w:type="paragraph" w:customStyle="1" w:styleId="F0A3A436150641DDB39CFFFE206F926B">
    <w:name w:val="F0A3A436150641DDB39CFFFE206F926B"/>
  </w:style>
  <w:style w:type="paragraph" w:customStyle="1" w:styleId="3041EA94709A423F87170B19B52FD150">
    <w:name w:val="3041EA94709A423F87170B19B52FD150"/>
  </w:style>
  <w:style w:type="paragraph" w:customStyle="1" w:styleId="0B472CADE65249B794DCEAA2C4ED9CA2">
    <w:name w:val="0B472CADE65249B794DCEAA2C4ED9CA2"/>
  </w:style>
  <w:style w:type="paragraph" w:customStyle="1" w:styleId="B65927A660E246AE94BBA41C744D2BCA">
    <w:name w:val="B65927A660E246AE94BBA41C744D2BCA"/>
  </w:style>
  <w:style w:type="paragraph" w:customStyle="1" w:styleId="837CDFC0E8E74604B8C4AF4CCB6C57C6">
    <w:name w:val="837CDFC0E8E74604B8C4AF4CCB6C57C6"/>
  </w:style>
  <w:style w:type="character" w:styleId="Emphasis">
    <w:name w:val="Emphasis"/>
    <w:basedOn w:val="DefaultParagraphFont"/>
    <w:uiPriority w:val="20"/>
    <w:qFormat/>
    <w:rPr>
      <w:i/>
      <w:iCs/>
    </w:rPr>
  </w:style>
  <w:style w:type="paragraph" w:customStyle="1" w:styleId="D415509290AA470C94C7DB02462BD738">
    <w:name w:val="D415509290AA470C94C7DB02462BD738"/>
  </w:style>
  <w:style w:type="paragraph" w:customStyle="1" w:styleId="4CF1109D996F4472A6ADFA1664C21E61">
    <w:name w:val="4CF1109D996F4472A6ADFA1664C21E61"/>
  </w:style>
  <w:style w:type="paragraph" w:customStyle="1" w:styleId="5140D145CAF84FA2A5E80176299C56C8">
    <w:name w:val="5140D145CAF84FA2A5E80176299C56C8"/>
  </w:style>
  <w:style w:type="paragraph" w:customStyle="1" w:styleId="3479E4CEAB8F4816AF5A86B379EFE2D7">
    <w:name w:val="3479E4CEAB8F4816AF5A86B379EFE2D7"/>
  </w:style>
  <w:style w:type="paragraph" w:styleId="BodyText">
    <w:name w:val="Body Text"/>
    <w:basedOn w:val="Normal"/>
    <w:link w:val="BodyTextChar"/>
    <w:rsid w:val="009D0155"/>
    <w:pPr>
      <w:spacing w:line="240" w:lineRule="auto"/>
    </w:pPr>
    <w:rPr>
      <w:rFonts w:eastAsiaTheme="minorHAnsi"/>
      <w:sz w:val="20"/>
    </w:rPr>
  </w:style>
  <w:style w:type="character" w:customStyle="1" w:styleId="BodyTextChar">
    <w:name w:val="Body Text Char"/>
    <w:basedOn w:val="DefaultParagraphFont"/>
    <w:link w:val="BodyText"/>
    <w:rsid w:val="009D0155"/>
    <w:rPr>
      <w:rFonts w:eastAsiaTheme="minorHAnsi"/>
      <w:sz w:val="20"/>
    </w:rPr>
  </w:style>
  <w:style w:type="paragraph" w:customStyle="1" w:styleId="484A9B4B69CD43C1856B0A3A06BCAE8D">
    <w:name w:val="484A9B4B69CD43C1856B0A3A06BCAE8D"/>
    <w:rsid w:val="009D0155"/>
  </w:style>
  <w:style w:type="paragraph" w:customStyle="1" w:styleId="E17C4155AE16414E832E981A413C14A8">
    <w:name w:val="E17C4155AE16414E832E981A413C14A8"/>
    <w:rsid w:val="009D0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Bauhaus">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12825 S. Spoon Creek Rd, Olathe, KS 66061</CompanyAddress>
  <CompanyPhone>Cell 913.909.3522</CompanyPhone>
  <CompanyFax/>
  <CompanyEmail>aw@awpickel.com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F626CDC8-4EA7-4887-8BE5-50EB38B0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4501</Characters>
  <Application>Microsoft Office Word</Application>
  <DocSecurity>0</DocSecurity>
  <Lines>37</Lines>
  <Paragraphs>10</Paragraphs>
  <ScaleCrop>false</ScaleCrop>
  <Company>Hewlett-Packard</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 Pickel, III, CMC</dc:creator>
  <dc:description/>
  <cp:lastModifiedBy>A.W. Pickel</cp:lastModifiedBy>
  <cp:revision>3</cp:revision>
  <cp:lastPrinted>2017-09-27T16:37:00Z</cp:lastPrinted>
  <dcterms:created xsi:type="dcterms:W3CDTF">2019-04-22T19:09:00Z</dcterms:created>
  <dcterms:modified xsi:type="dcterms:W3CDTF">2019-04-22T19:09:00Z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