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799" w:rsidRPr="00140799" w:rsidRDefault="00140799" w:rsidP="00140799">
      <w:pPr>
        <w:tabs>
          <w:tab w:val="center" w:pos="-27654"/>
        </w:tabs>
        <w:jc w:val="center"/>
        <w:rPr>
          <w:rFonts w:ascii="Arial" w:hAnsi="Arial" w:cs="Arial"/>
          <w:b/>
        </w:rPr>
      </w:pPr>
      <w:r w:rsidRPr="00140799">
        <w:rPr>
          <w:rFonts w:ascii="Arial" w:hAnsi="Arial" w:cs="Arial"/>
          <w:b/>
        </w:rPr>
        <w:t>G</w:t>
      </w:r>
      <w:r>
        <w:rPr>
          <w:rFonts w:ascii="Arial" w:hAnsi="Arial" w:cs="Arial"/>
          <w:b/>
        </w:rPr>
        <w:t>ary</w:t>
      </w:r>
      <w:r w:rsidRPr="00140799">
        <w:rPr>
          <w:rFonts w:ascii="Arial" w:hAnsi="Arial" w:cs="Arial"/>
          <w:b/>
        </w:rPr>
        <w:t xml:space="preserve"> K. W</w:t>
      </w:r>
      <w:r>
        <w:rPr>
          <w:rFonts w:ascii="Arial" w:hAnsi="Arial" w:cs="Arial"/>
          <w:b/>
        </w:rPr>
        <w:t>hitmyre</w:t>
      </w:r>
      <w:r w:rsidRPr="00140799">
        <w:rPr>
          <w:rFonts w:ascii="Arial" w:hAnsi="Arial" w:cs="Arial"/>
          <w:b/>
        </w:rPr>
        <w:t>, M.A., D.A.B.T.</w:t>
      </w:r>
    </w:p>
    <w:p w:rsidR="00140799" w:rsidRPr="00140799" w:rsidRDefault="00140799" w:rsidP="00140799">
      <w:pPr>
        <w:tabs>
          <w:tab w:val="left" w:pos="1080"/>
        </w:tabs>
        <w:jc w:val="both"/>
        <w:rPr>
          <w:rFonts w:ascii="Arial" w:hAnsi="Arial" w:cs="Arial"/>
          <w:sz w:val="20"/>
        </w:rPr>
      </w:pPr>
    </w:p>
    <w:p w:rsidR="00140799" w:rsidRDefault="00140799" w:rsidP="00140799">
      <w:pPr>
        <w:tabs>
          <w:tab w:val="left" w:pos="-720"/>
        </w:tabs>
        <w:rPr>
          <w:rFonts w:ascii="Arial" w:hAnsi="Arial"/>
          <w:b/>
          <w:sz w:val="22"/>
          <w:u w:val="single"/>
        </w:rPr>
      </w:pPr>
    </w:p>
    <w:p w:rsidR="00140799" w:rsidRPr="00140799" w:rsidRDefault="00140799" w:rsidP="00140799">
      <w:pPr>
        <w:tabs>
          <w:tab w:val="left" w:pos="-720"/>
        </w:tabs>
        <w:rPr>
          <w:rFonts w:ascii="Arial" w:hAnsi="Arial"/>
          <w:b/>
          <w:sz w:val="22"/>
          <w:u w:val="single"/>
        </w:rPr>
      </w:pPr>
      <w:r w:rsidRPr="00140799">
        <w:rPr>
          <w:rFonts w:ascii="Arial" w:hAnsi="Arial"/>
          <w:b/>
          <w:sz w:val="22"/>
          <w:u w:val="single"/>
        </w:rPr>
        <w:t>SUMMARY</w:t>
      </w:r>
    </w:p>
    <w:p w:rsidR="00140799" w:rsidRPr="00140799" w:rsidRDefault="00140799" w:rsidP="00140799">
      <w:pPr>
        <w:tabs>
          <w:tab w:val="left" w:pos="-720"/>
        </w:tabs>
        <w:rPr>
          <w:rFonts w:ascii="Arial" w:hAnsi="Arial"/>
          <w:sz w:val="16"/>
        </w:rPr>
      </w:pPr>
    </w:p>
    <w:p w:rsidR="00140799" w:rsidRPr="00140799" w:rsidRDefault="00140799" w:rsidP="00140799">
      <w:pPr>
        <w:tabs>
          <w:tab w:val="left" w:pos="720"/>
          <w:tab w:val="left" w:pos="1080"/>
        </w:tabs>
        <w:jc w:val="both"/>
        <w:rPr>
          <w:sz w:val="22"/>
        </w:rPr>
      </w:pPr>
      <w:r w:rsidRPr="00140799">
        <w:rPr>
          <w:rFonts w:ascii="Arial" w:hAnsi="Arial"/>
          <w:spacing w:val="2"/>
          <w:sz w:val="22"/>
          <w:lang w:eastAsia="en-GB"/>
        </w:rPr>
        <w:tab/>
        <w:t xml:space="preserve">A board-certified toxicologist with </w:t>
      </w:r>
      <w:r w:rsidR="00913C19">
        <w:rPr>
          <w:rFonts w:ascii="Arial" w:hAnsi="Arial"/>
          <w:spacing w:val="2"/>
          <w:sz w:val="22"/>
          <w:lang w:eastAsia="en-GB"/>
        </w:rPr>
        <w:t xml:space="preserve">more than </w:t>
      </w:r>
      <w:r w:rsidRPr="00140799">
        <w:rPr>
          <w:rFonts w:ascii="Arial" w:hAnsi="Arial"/>
          <w:spacing w:val="2"/>
          <w:sz w:val="22"/>
          <w:lang w:eastAsia="en-GB"/>
        </w:rPr>
        <w:t xml:space="preserve">thirty-five years of technical experience focused on residential, occupational, and consumer exposure analysis, risk assessment, and toxicology of environmental chemicals.  </w:t>
      </w:r>
      <w:r w:rsidR="006C4258">
        <w:rPr>
          <w:rFonts w:ascii="Arial" w:hAnsi="Arial"/>
          <w:spacing w:val="2"/>
          <w:sz w:val="22"/>
          <w:lang w:eastAsia="en-GB"/>
        </w:rPr>
        <w:t xml:space="preserve">As Senior Director of Exposure and Risk Assessment for </w:t>
      </w:r>
      <w:proofErr w:type="spellStart"/>
      <w:r w:rsidR="006C4258" w:rsidRPr="006C4258">
        <w:rPr>
          <w:rFonts w:ascii="Arial" w:hAnsi="Arial"/>
          <w:b/>
          <w:i/>
          <w:spacing w:val="2"/>
          <w:sz w:val="22"/>
          <w:lang w:eastAsia="en-GB"/>
        </w:rPr>
        <w:t>toXcel</w:t>
      </w:r>
      <w:proofErr w:type="spellEnd"/>
      <w:r w:rsidR="006C4258" w:rsidRPr="006C4258">
        <w:rPr>
          <w:rFonts w:ascii="Arial" w:hAnsi="Arial"/>
          <w:b/>
          <w:i/>
          <w:spacing w:val="2"/>
          <w:sz w:val="22"/>
          <w:lang w:eastAsia="en-GB"/>
        </w:rPr>
        <w:t>, LLC</w:t>
      </w:r>
      <w:r w:rsidR="006C4258">
        <w:rPr>
          <w:rFonts w:ascii="Arial" w:hAnsi="Arial"/>
          <w:spacing w:val="2"/>
          <w:sz w:val="22"/>
          <w:lang w:eastAsia="en-GB"/>
        </w:rPr>
        <w:t xml:space="preserve">, Mr. Whitmyre is responsible for risk assessment of chemicals and products in occupational and residential environments, and is the key individual responsible for complex exposure analysis and modeling, </w:t>
      </w:r>
      <w:r w:rsidR="007D078F">
        <w:rPr>
          <w:rFonts w:ascii="Arial" w:hAnsi="Arial"/>
          <w:spacing w:val="2"/>
          <w:sz w:val="22"/>
          <w:lang w:eastAsia="en-GB"/>
        </w:rPr>
        <w:t xml:space="preserve">and </w:t>
      </w:r>
      <w:r w:rsidR="006C4258">
        <w:rPr>
          <w:rFonts w:ascii="Arial" w:hAnsi="Arial"/>
          <w:spacing w:val="2"/>
          <w:sz w:val="22"/>
          <w:lang w:eastAsia="en-GB"/>
        </w:rPr>
        <w:t xml:space="preserve">litigation support.  </w:t>
      </w:r>
      <w:r w:rsidR="007D078F">
        <w:rPr>
          <w:rFonts w:ascii="Arial" w:hAnsi="Arial"/>
          <w:spacing w:val="2"/>
          <w:sz w:val="22"/>
          <w:lang w:eastAsia="en-GB"/>
        </w:rPr>
        <w:t xml:space="preserve">Following and including his </w:t>
      </w:r>
      <w:r w:rsidRPr="00140799">
        <w:rPr>
          <w:rFonts w:ascii="Arial" w:hAnsi="Arial"/>
          <w:spacing w:val="2"/>
          <w:sz w:val="22"/>
          <w:lang w:eastAsia="en-GB"/>
        </w:rPr>
        <w:t>previous experience on the staff of other scientific consulting firms, Mr. Whitmyre has been actively engaged in a wide variety of risk assessment projects.  His experience includes probabilistic modeling of human exposure to chemicals in indoor and outdoor environments, development of expert opinions for litigation cases, regulatory compliance through product-specific exposure assessments under California Proposition 65, preparation of human health risk assessments for inclusion in applications for US federal and state marketing approvals (including EU and FIFRA registrations), and international dossiers supporting pesticides and antimicrobial products and other chemical registrations.</w:t>
      </w:r>
      <w:r w:rsidRPr="00140799">
        <w:rPr>
          <w:rFonts w:ascii="CG Times" w:hAnsi="CG Times"/>
          <w:sz w:val="22"/>
        </w:rPr>
        <w:t xml:space="preserve"> </w:t>
      </w:r>
    </w:p>
    <w:p w:rsidR="00140799" w:rsidRDefault="00140799" w:rsidP="00140799">
      <w:pPr>
        <w:tabs>
          <w:tab w:val="left" w:pos="1080"/>
        </w:tabs>
        <w:jc w:val="both"/>
        <w:rPr>
          <w:rFonts w:ascii="Arial" w:hAnsi="Arial"/>
          <w:spacing w:val="2"/>
          <w:sz w:val="22"/>
          <w:lang w:eastAsia="en-GB"/>
        </w:rPr>
      </w:pPr>
    </w:p>
    <w:p w:rsidR="00140799" w:rsidRPr="00140799" w:rsidRDefault="00140799" w:rsidP="00140799">
      <w:pPr>
        <w:tabs>
          <w:tab w:val="left" w:pos="1080"/>
        </w:tabs>
        <w:jc w:val="both"/>
        <w:rPr>
          <w:rFonts w:ascii="Arial" w:hAnsi="Arial"/>
          <w:spacing w:val="2"/>
          <w:sz w:val="22"/>
          <w:lang w:eastAsia="en-GB"/>
        </w:rPr>
      </w:pPr>
    </w:p>
    <w:p w:rsidR="00140799" w:rsidRPr="00140799" w:rsidRDefault="00140799" w:rsidP="00140799">
      <w:pPr>
        <w:tabs>
          <w:tab w:val="left" w:pos="-720"/>
        </w:tabs>
        <w:rPr>
          <w:rFonts w:ascii="Arial" w:hAnsi="Arial"/>
          <w:b/>
          <w:sz w:val="22"/>
        </w:rPr>
      </w:pPr>
      <w:r w:rsidRPr="00140799">
        <w:rPr>
          <w:rFonts w:ascii="Arial" w:hAnsi="Arial"/>
          <w:b/>
          <w:sz w:val="22"/>
          <w:u w:val="single"/>
        </w:rPr>
        <w:t>EDUCATION</w:t>
      </w:r>
    </w:p>
    <w:p w:rsidR="00140799" w:rsidRPr="00140799" w:rsidRDefault="00140799" w:rsidP="00140799">
      <w:pPr>
        <w:tabs>
          <w:tab w:val="left" w:pos="1080"/>
        </w:tabs>
        <w:jc w:val="both"/>
        <w:rPr>
          <w:b/>
          <w:sz w:val="20"/>
        </w:rPr>
      </w:pPr>
    </w:p>
    <w:p w:rsidR="00140799" w:rsidRPr="00140799" w:rsidRDefault="00140799" w:rsidP="00140799">
      <w:pPr>
        <w:tabs>
          <w:tab w:val="left" w:pos="1080"/>
        </w:tabs>
        <w:ind w:left="540" w:hanging="540"/>
        <w:jc w:val="both"/>
        <w:rPr>
          <w:rFonts w:ascii="Arial" w:hAnsi="Arial"/>
          <w:sz w:val="22"/>
        </w:rPr>
      </w:pPr>
      <w:r w:rsidRPr="00140799">
        <w:rPr>
          <w:rFonts w:ascii="Arial" w:hAnsi="Arial"/>
          <w:sz w:val="22"/>
        </w:rPr>
        <w:t xml:space="preserve">Ph.D. Program (all but dissertation), Environmental Chemistry and Biology, University of North Carolina at Chapel Hill </w:t>
      </w:r>
    </w:p>
    <w:p w:rsidR="00140799" w:rsidRPr="00140799" w:rsidRDefault="00140799" w:rsidP="00140799">
      <w:pPr>
        <w:tabs>
          <w:tab w:val="left" w:pos="1080"/>
        </w:tabs>
        <w:jc w:val="both"/>
        <w:rPr>
          <w:rFonts w:ascii="Arial" w:hAnsi="Arial"/>
          <w:sz w:val="22"/>
        </w:rPr>
      </w:pPr>
      <w:r w:rsidRPr="00140799">
        <w:rPr>
          <w:rFonts w:ascii="Arial" w:hAnsi="Arial"/>
          <w:sz w:val="22"/>
        </w:rPr>
        <w:t>M.A., Biochemistry, Duke University</w:t>
      </w:r>
    </w:p>
    <w:p w:rsidR="00140799" w:rsidRPr="00140799" w:rsidRDefault="00140799" w:rsidP="00140799">
      <w:pPr>
        <w:tabs>
          <w:tab w:val="left" w:pos="1080"/>
        </w:tabs>
        <w:jc w:val="both"/>
        <w:rPr>
          <w:rFonts w:ascii="Arial" w:hAnsi="Arial"/>
          <w:sz w:val="22"/>
        </w:rPr>
      </w:pPr>
      <w:r w:rsidRPr="00140799">
        <w:rPr>
          <w:rFonts w:ascii="Arial" w:hAnsi="Arial"/>
          <w:sz w:val="22"/>
        </w:rPr>
        <w:t>B.S., Biochemistry, Pennsylvania State University</w:t>
      </w:r>
    </w:p>
    <w:p w:rsidR="00140799" w:rsidRDefault="00140799" w:rsidP="00140799">
      <w:pPr>
        <w:tabs>
          <w:tab w:val="left" w:pos="1080"/>
        </w:tabs>
        <w:jc w:val="both"/>
        <w:rPr>
          <w:rFonts w:ascii="Arial" w:hAnsi="Arial"/>
          <w:sz w:val="22"/>
        </w:rPr>
      </w:pPr>
    </w:p>
    <w:p w:rsidR="00140799" w:rsidRDefault="00140799" w:rsidP="00140799">
      <w:pPr>
        <w:tabs>
          <w:tab w:val="left" w:pos="1080"/>
        </w:tabs>
        <w:jc w:val="both"/>
        <w:rPr>
          <w:rFonts w:ascii="Arial" w:hAnsi="Arial"/>
          <w:sz w:val="22"/>
        </w:rPr>
      </w:pPr>
    </w:p>
    <w:p w:rsidR="00140799" w:rsidRPr="00140799" w:rsidRDefault="00140799" w:rsidP="00140799">
      <w:pPr>
        <w:tabs>
          <w:tab w:val="left" w:pos="-720"/>
        </w:tabs>
        <w:rPr>
          <w:rFonts w:ascii="Arial" w:hAnsi="Arial"/>
          <w:b/>
          <w:sz w:val="22"/>
          <w:u w:val="single"/>
        </w:rPr>
      </w:pPr>
      <w:r w:rsidRPr="00140799">
        <w:rPr>
          <w:rFonts w:ascii="Arial" w:hAnsi="Arial"/>
          <w:b/>
          <w:sz w:val="22"/>
          <w:u w:val="single"/>
        </w:rPr>
        <w:t>PROFESSIONAL AFFILIATIONS</w:t>
      </w:r>
    </w:p>
    <w:p w:rsidR="00140799" w:rsidRPr="00140799" w:rsidRDefault="00140799" w:rsidP="00140799">
      <w:pPr>
        <w:tabs>
          <w:tab w:val="left" w:pos="1080"/>
        </w:tabs>
        <w:rPr>
          <w:rFonts w:ascii="CG Omega" w:hAnsi="CG Omega"/>
        </w:rPr>
      </w:pPr>
    </w:p>
    <w:p w:rsidR="00140799" w:rsidRPr="00140799" w:rsidRDefault="00140799" w:rsidP="00140799">
      <w:pPr>
        <w:tabs>
          <w:tab w:val="left" w:pos="1080"/>
        </w:tabs>
        <w:rPr>
          <w:rFonts w:ascii="Arial" w:hAnsi="Arial" w:cs="Arial"/>
          <w:sz w:val="22"/>
        </w:rPr>
      </w:pPr>
      <w:r w:rsidRPr="00140799">
        <w:rPr>
          <w:rFonts w:ascii="Arial" w:hAnsi="Arial" w:cs="Arial"/>
          <w:sz w:val="22"/>
        </w:rPr>
        <w:t>International Society of Exposure Analysis, 1992 - present</w:t>
      </w:r>
    </w:p>
    <w:p w:rsidR="00140799" w:rsidRPr="00140799" w:rsidRDefault="00140799" w:rsidP="00140799">
      <w:pPr>
        <w:tabs>
          <w:tab w:val="left" w:pos="1080"/>
        </w:tabs>
        <w:rPr>
          <w:rFonts w:ascii="Arial" w:hAnsi="Arial" w:cs="Arial"/>
          <w:sz w:val="22"/>
        </w:rPr>
      </w:pPr>
      <w:r w:rsidRPr="00140799">
        <w:rPr>
          <w:rFonts w:ascii="Arial" w:hAnsi="Arial" w:cs="Arial"/>
          <w:sz w:val="22"/>
        </w:rPr>
        <w:t>Society for Risk Analysis, 1991 - present</w:t>
      </w:r>
    </w:p>
    <w:p w:rsidR="00140799" w:rsidRPr="00140799" w:rsidRDefault="00140799" w:rsidP="00140799">
      <w:pPr>
        <w:tabs>
          <w:tab w:val="left" w:pos="1080"/>
        </w:tabs>
        <w:rPr>
          <w:rFonts w:ascii="Arial" w:hAnsi="Arial" w:cs="Arial"/>
          <w:sz w:val="22"/>
        </w:rPr>
      </w:pPr>
      <w:r w:rsidRPr="00140799">
        <w:rPr>
          <w:rFonts w:ascii="Arial" w:hAnsi="Arial" w:cs="Arial"/>
          <w:sz w:val="22"/>
        </w:rPr>
        <w:t>American College of Toxicology, 1986 - present</w:t>
      </w:r>
    </w:p>
    <w:p w:rsidR="00140799" w:rsidRPr="00140799" w:rsidRDefault="00140799" w:rsidP="00140799">
      <w:pPr>
        <w:tabs>
          <w:tab w:val="left" w:pos="1080"/>
        </w:tabs>
        <w:rPr>
          <w:b/>
          <w:sz w:val="22"/>
        </w:rPr>
      </w:pPr>
    </w:p>
    <w:p w:rsidR="00140799" w:rsidRPr="00140799" w:rsidRDefault="00140799" w:rsidP="00140799">
      <w:pPr>
        <w:tabs>
          <w:tab w:val="left" w:pos="1080"/>
        </w:tabs>
        <w:jc w:val="both"/>
        <w:rPr>
          <w:rFonts w:ascii="Arial" w:hAnsi="Arial"/>
          <w:sz w:val="22"/>
        </w:rPr>
      </w:pPr>
    </w:p>
    <w:p w:rsidR="00140799" w:rsidRPr="00140799" w:rsidRDefault="00140799" w:rsidP="00140799">
      <w:pPr>
        <w:tabs>
          <w:tab w:val="left" w:pos="1080"/>
        </w:tabs>
        <w:jc w:val="both"/>
        <w:rPr>
          <w:rFonts w:ascii="Arial" w:hAnsi="Arial"/>
          <w:sz w:val="22"/>
        </w:rPr>
      </w:pPr>
      <w:r w:rsidRPr="00140799">
        <w:rPr>
          <w:rFonts w:ascii="Arial" w:hAnsi="Arial"/>
          <w:b/>
          <w:sz w:val="22"/>
          <w:u w:val="single"/>
        </w:rPr>
        <w:t>PROFESSIONAL CERTIFICATION</w:t>
      </w:r>
    </w:p>
    <w:p w:rsidR="00140799" w:rsidRPr="00140799" w:rsidRDefault="00140799" w:rsidP="00140799">
      <w:pPr>
        <w:tabs>
          <w:tab w:val="left" w:pos="1080"/>
        </w:tabs>
        <w:jc w:val="both"/>
        <w:rPr>
          <w:rFonts w:ascii="CG Omega" w:hAnsi="CG Omega"/>
          <w:sz w:val="20"/>
        </w:rPr>
      </w:pPr>
    </w:p>
    <w:p w:rsidR="00140799" w:rsidRPr="00140799" w:rsidRDefault="00140799" w:rsidP="00140799">
      <w:pPr>
        <w:tabs>
          <w:tab w:val="left" w:pos="1080"/>
        </w:tabs>
        <w:jc w:val="both"/>
        <w:rPr>
          <w:rFonts w:ascii="Arial" w:hAnsi="Arial"/>
          <w:sz w:val="22"/>
        </w:rPr>
      </w:pPr>
      <w:r w:rsidRPr="00140799">
        <w:rPr>
          <w:rFonts w:ascii="Arial" w:hAnsi="Arial"/>
          <w:sz w:val="22"/>
        </w:rPr>
        <w:t>Certified in General Toxicology by the American Board of Toxicology (ABT), 1986 – 1990</w:t>
      </w:r>
    </w:p>
    <w:p w:rsidR="00140799" w:rsidRPr="00140799" w:rsidRDefault="00140799" w:rsidP="00140799">
      <w:pPr>
        <w:tabs>
          <w:tab w:val="left" w:pos="1080"/>
        </w:tabs>
        <w:jc w:val="both"/>
        <w:rPr>
          <w:rFonts w:ascii="Arial" w:hAnsi="Arial"/>
          <w:sz w:val="22"/>
        </w:rPr>
      </w:pPr>
      <w:r w:rsidRPr="00140799">
        <w:rPr>
          <w:rFonts w:ascii="Arial" w:hAnsi="Arial"/>
          <w:sz w:val="22"/>
        </w:rPr>
        <w:t xml:space="preserve">Re-certified by ABT, 1991-1995, 1996-2000, 2001-2005, 2006 - 2010, 2011 </w:t>
      </w:r>
      <w:r w:rsidR="00A35934">
        <w:rPr>
          <w:rFonts w:ascii="Arial" w:hAnsi="Arial"/>
          <w:sz w:val="22"/>
        </w:rPr>
        <w:t>–</w:t>
      </w:r>
      <w:r w:rsidRPr="00140799">
        <w:rPr>
          <w:rFonts w:ascii="Arial" w:hAnsi="Arial"/>
          <w:sz w:val="22"/>
        </w:rPr>
        <w:t xml:space="preserve"> 2015</w:t>
      </w:r>
      <w:r w:rsidR="00A35934">
        <w:rPr>
          <w:rFonts w:ascii="Arial" w:hAnsi="Arial"/>
          <w:sz w:val="22"/>
        </w:rPr>
        <w:t>, 2016-2020</w:t>
      </w:r>
    </w:p>
    <w:p w:rsidR="00140799" w:rsidRPr="00140799" w:rsidRDefault="00140799" w:rsidP="00140799">
      <w:pPr>
        <w:tabs>
          <w:tab w:val="left" w:pos="1080"/>
        </w:tabs>
        <w:jc w:val="both"/>
        <w:rPr>
          <w:rFonts w:ascii="CG Omega" w:hAnsi="CG Omega"/>
          <w:sz w:val="20"/>
        </w:rPr>
      </w:pPr>
    </w:p>
    <w:p w:rsidR="006C4258" w:rsidRDefault="006C4258">
      <w:pPr>
        <w:rPr>
          <w:rFonts w:ascii="Arial" w:hAnsi="Arial"/>
          <w:b/>
          <w:sz w:val="22"/>
          <w:u w:val="single"/>
        </w:rPr>
      </w:pPr>
    </w:p>
    <w:p w:rsidR="00140799" w:rsidRPr="00140799" w:rsidRDefault="00140799" w:rsidP="00140799">
      <w:pPr>
        <w:tabs>
          <w:tab w:val="left" w:pos="-720"/>
        </w:tabs>
        <w:rPr>
          <w:rFonts w:ascii="Arial" w:hAnsi="Arial"/>
          <w:sz w:val="22"/>
          <w:u w:val="single"/>
        </w:rPr>
      </w:pPr>
      <w:r w:rsidRPr="00140799">
        <w:rPr>
          <w:rFonts w:ascii="Arial" w:hAnsi="Arial"/>
          <w:b/>
          <w:sz w:val="22"/>
          <w:u w:val="single"/>
        </w:rPr>
        <w:t>PROFESSIONAL EXPERIENC</w:t>
      </w:r>
      <w:r w:rsidRPr="00262EBE">
        <w:rPr>
          <w:rFonts w:ascii="Arial" w:hAnsi="Arial"/>
          <w:b/>
          <w:sz w:val="22"/>
          <w:u w:val="single"/>
        </w:rPr>
        <w:t>E</w:t>
      </w:r>
    </w:p>
    <w:p w:rsidR="00140799" w:rsidRPr="00140799" w:rsidRDefault="00140799" w:rsidP="00140799">
      <w:pPr>
        <w:tabs>
          <w:tab w:val="left" w:pos="1080"/>
        </w:tabs>
        <w:jc w:val="both"/>
        <w:rPr>
          <w:rFonts w:ascii="CG Omega" w:hAnsi="CG Omega"/>
        </w:rPr>
      </w:pPr>
    </w:p>
    <w:p w:rsidR="00140799" w:rsidRPr="00140799" w:rsidRDefault="00262EBE" w:rsidP="00140799">
      <w:pPr>
        <w:tabs>
          <w:tab w:val="left" w:pos="1080"/>
        </w:tabs>
        <w:ind w:left="7200" w:hanging="7200"/>
        <w:jc w:val="both"/>
        <w:rPr>
          <w:b/>
          <w:sz w:val="22"/>
        </w:rPr>
      </w:pPr>
      <w:proofErr w:type="spellStart"/>
      <w:proofErr w:type="gramStart"/>
      <w:r>
        <w:rPr>
          <w:rFonts w:ascii="Arial" w:hAnsi="Arial"/>
          <w:b/>
          <w:sz w:val="22"/>
        </w:rPr>
        <w:t>toXcel</w:t>
      </w:r>
      <w:proofErr w:type="spellEnd"/>
      <w:proofErr w:type="gramEnd"/>
      <w:r w:rsidR="00140799" w:rsidRPr="00140799">
        <w:rPr>
          <w:rFonts w:ascii="Arial" w:hAnsi="Arial"/>
          <w:b/>
          <w:sz w:val="22"/>
        </w:rPr>
        <w:t>, LLC</w:t>
      </w:r>
      <w:r w:rsidR="00140799" w:rsidRPr="00140799">
        <w:rPr>
          <w:b/>
          <w:sz w:val="22"/>
        </w:rPr>
        <w:t xml:space="preserve"> </w:t>
      </w:r>
    </w:p>
    <w:p w:rsidR="00140799" w:rsidRPr="00140799" w:rsidRDefault="00140799" w:rsidP="00140799">
      <w:pPr>
        <w:tabs>
          <w:tab w:val="left" w:pos="1080"/>
        </w:tabs>
        <w:ind w:left="7200" w:hanging="7200"/>
        <w:jc w:val="both"/>
        <w:rPr>
          <w:rFonts w:ascii="Arial" w:hAnsi="Arial"/>
          <w:b/>
          <w:sz w:val="22"/>
        </w:rPr>
      </w:pPr>
      <w:r w:rsidRPr="00140799">
        <w:rPr>
          <w:rFonts w:ascii="Arial" w:hAnsi="Arial"/>
          <w:b/>
          <w:sz w:val="22"/>
        </w:rPr>
        <w:t xml:space="preserve">Gainesville, VA </w:t>
      </w:r>
    </w:p>
    <w:p w:rsidR="00140799" w:rsidRPr="00140799" w:rsidRDefault="00140799" w:rsidP="00140799">
      <w:pPr>
        <w:tabs>
          <w:tab w:val="left" w:pos="1080"/>
          <w:tab w:val="right" w:pos="9360"/>
        </w:tabs>
        <w:ind w:left="7200" w:hanging="7200"/>
        <w:jc w:val="both"/>
        <w:rPr>
          <w:rFonts w:ascii="Arial" w:hAnsi="Arial"/>
          <w:sz w:val="22"/>
          <w:szCs w:val="20"/>
        </w:rPr>
      </w:pPr>
      <w:r w:rsidRPr="00140799">
        <w:rPr>
          <w:rFonts w:ascii="Arial" w:hAnsi="Arial"/>
          <w:sz w:val="22"/>
          <w:szCs w:val="20"/>
        </w:rPr>
        <w:t>Senior Director of Exposure and Risk Assessment</w:t>
      </w:r>
      <w:r w:rsidRPr="00140799">
        <w:rPr>
          <w:rFonts w:ascii="Arial" w:hAnsi="Arial"/>
          <w:sz w:val="22"/>
          <w:szCs w:val="20"/>
        </w:rPr>
        <w:tab/>
      </w:r>
      <w:r w:rsidRPr="00140799">
        <w:rPr>
          <w:rFonts w:ascii="Arial" w:hAnsi="Arial"/>
          <w:sz w:val="22"/>
          <w:szCs w:val="20"/>
        </w:rPr>
        <w:tab/>
        <w:t xml:space="preserve">2011 - Present </w:t>
      </w:r>
    </w:p>
    <w:p w:rsidR="00140799" w:rsidRPr="00140799" w:rsidRDefault="00140799" w:rsidP="00140799">
      <w:pPr>
        <w:tabs>
          <w:tab w:val="left" w:pos="1080"/>
        </w:tabs>
        <w:ind w:left="7200" w:hanging="7200"/>
        <w:jc w:val="both"/>
        <w:rPr>
          <w:rFonts w:ascii="Arial" w:hAnsi="Arial"/>
          <w:sz w:val="22"/>
          <w:szCs w:val="20"/>
        </w:rPr>
      </w:pPr>
    </w:p>
    <w:p w:rsidR="00140799" w:rsidRPr="00140799" w:rsidRDefault="00140799" w:rsidP="00140799">
      <w:pPr>
        <w:tabs>
          <w:tab w:val="left" w:pos="1080"/>
        </w:tabs>
        <w:jc w:val="both"/>
        <w:rPr>
          <w:rFonts w:ascii="Arial" w:hAnsi="Arial"/>
          <w:spacing w:val="2"/>
          <w:sz w:val="22"/>
          <w:lang w:eastAsia="en-GB"/>
        </w:rPr>
      </w:pPr>
      <w:r w:rsidRPr="00140799">
        <w:rPr>
          <w:rFonts w:ascii="Arial" w:hAnsi="Arial"/>
          <w:spacing w:val="2"/>
          <w:sz w:val="22"/>
          <w:lang w:eastAsia="en-GB"/>
        </w:rPr>
        <w:t xml:space="preserve">Responsible for human exposure assessment and risk assessment of chemicals, mainly for occupational and residential settings.  Completed exposure and risk characterization portions </w:t>
      </w:r>
      <w:r w:rsidRPr="00140799">
        <w:rPr>
          <w:rFonts w:ascii="Arial" w:hAnsi="Arial"/>
          <w:spacing w:val="2"/>
          <w:sz w:val="22"/>
          <w:lang w:eastAsia="en-GB"/>
        </w:rPr>
        <w:lastRenderedPageBreak/>
        <w:t xml:space="preserve">of EU dossiers for pesticide active ingredients and products, as well as biocides.  Contributed to registration efforts for pesticides with the USEPA, and other government entities. Conducted and provided support to industry with regard to California Proposition 65 risk assessments for various consumer products, including soft soap, laundry products, floor- cleaning products, all-purpose cleaners, and other household products. Provided litigation support as </w:t>
      </w:r>
      <w:r w:rsidR="00491CCF">
        <w:rPr>
          <w:rFonts w:ascii="Arial" w:hAnsi="Arial"/>
          <w:spacing w:val="2"/>
          <w:sz w:val="22"/>
          <w:lang w:eastAsia="en-GB"/>
        </w:rPr>
        <w:t xml:space="preserve">an </w:t>
      </w:r>
      <w:r w:rsidRPr="00140799">
        <w:rPr>
          <w:rFonts w:ascii="Arial" w:hAnsi="Arial"/>
          <w:spacing w:val="2"/>
          <w:sz w:val="22"/>
          <w:lang w:eastAsia="en-GB"/>
        </w:rPr>
        <w:t>expert witness in cases requiring reconstruction of occupational exposures to trichloroethylene (TCE), occupational exposu</w:t>
      </w:r>
      <w:r w:rsidR="00A35934">
        <w:rPr>
          <w:rFonts w:ascii="Arial" w:hAnsi="Arial"/>
          <w:spacing w:val="2"/>
          <w:sz w:val="22"/>
          <w:lang w:eastAsia="en-GB"/>
        </w:rPr>
        <w:t xml:space="preserve">res to benzene, </w:t>
      </w:r>
      <w:proofErr w:type="gramStart"/>
      <w:r w:rsidR="00EC0182">
        <w:rPr>
          <w:rFonts w:ascii="Arial" w:hAnsi="Arial"/>
          <w:spacing w:val="2"/>
          <w:sz w:val="22"/>
          <w:lang w:eastAsia="en-GB"/>
        </w:rPr>
        <w:t>residential</w:t>
      </w:r>
      <w:proofErr w:type="gramEnd"/>
      <w:r w:rsidR="00EC0182">
        <w:rPr>
          <w:rFonts w:ascii="Arial" w:hAnsi="Arial"/>
          <w:spacing w:val="2"/>
          <w:sz w:val="22"/>
          <w:lang w:eastAsia="en-GB"/>
        </w:rPr>
        <w:t xml:space="preserve"> </w:t>
      </w:r>
      <w:r w:rsidRPr="00140799">
        <w:rPr>
          <w:rFonts w:ascii="Arial" w:hAnsi="Arial"/>
          <w:spacing w:val="2"/>
          <w:sz w:val="22"/>
          <w:lang w:eastAsia="en-GB"/>
        </w:rPr>
        <w:t>exposures to pesticide</w:t>
      </w:r>
      <w:r w:rsidR="00491CCF">
        <w:rPr>
          <w:rFonts w:ascii="Arial" w:hAnsi="Arial"/>
          <w:spacing w:val="2"/>
          <w:sz w:val="22"/>
          <w:lang w:eastAsia="en-GB"/>
        </w:rPr>
        <w:t>s</w:t>
      </w:r>
      <w:r w:rsidRPr="00140799">
        <w:rPr>
          <w:rFonts w:ascii="Arial" w:hAnsi="Arial"/>
          <w:spacing w:val="2"/>
          <w:sz w:val="22"/>
          <w:lang w:eastAsia="en-GB"/>
        </w:rPr>
        <w:t xml:space="preserve">, </w:t>
      </w:r>
      <w:r w:rsidR="00A35934">
        <w:rPr>
          <w:rFonts w:ascii="Arial" w:hAnsi="Arial"/>
          <w:spacing w:val="2"/>
          <w:sz w:val="22"/>
          <w:lang w:eastAsia="en-GB"/>
        </w:rPr>
        <w:t xml:space="preserve">residential exposures to smoke </w:t>
      </w:r>
      <w:r w:rsidR="00EC0182">
        <w:rPr>
          <w:rFonts w:ascii="Arial" w:hAnsi="Arial"/>
          <w:spacing w:val="2"/>
          <w:sz w:val="22"/>
          <w:lang w:eastAsia="en-GB"/>
        </w:rPr>
        <w:t xml:space="preserve">and mold </w:t>
      </w:r>
      <w:r w:rsidR="00A35934">
        <w:rPr>
          <w:rFonts w:ascii="Arial" w:hAnsi="Arial"/>
          <w:spacing w:val="2"/>
          <w:sz w:val="22"/>
          <w:lang w:eastAsia="en-GB"/>
        </w:rPr>
        <w:t>remediation chemicals;</w:t>
      </w:r>
      <w:r w:rsidR="00EC0182">
        <w:rPr>
          <w:rFonts w:ascii="Arial" w:hAnsi="Arial"/>
          <w:spacing w:val="2"/>
          <w:sz w:val="22"/>
          <w:lang w:eastAsia="en-GB"/>
        </w:rPr>
        <w:t xml:space="preserve"> </w:t>
      </w:r>
      <w:r w:rsidRPr="00140799">
        <w:rPr>
          <w:rFonts w:ascii="Arial" w:hAnsi="Arial"/>
          <w:spacing w:val="2"/>
          <w:sz w:val="22"/>
          <w:lang w:eastAsia="en-GB"/>
        </w:rPr>
        <w:t xml:space="preserve">and residential exposures to chemicals in antimicrobial formulations. </w:t>
      </w:r>
      <w:r w:rsidR="00491CCF">
        <w:rPr>
          <w:rFonts w:ascii="Arial" w:hAnsi="Arial"/>
          <w:spacing w:val="2"/>
          <w:sz w:val="22"/>
          <w:lang w:eastAsia="en-GB"/>
        </w:rPr>
        <w:t>Most of the litigation cases in which Mr. Whitmyre w</w:t>
      </w:r>
      <w:r w:rsidR="00A35934">
        <w:rPr>
          <w:rFonts w:ascii="Arial" w:hAnsi="Arial"/>
          <w:spacing w:val="2"/>
          <w:sz w:val="22"/>
          <w:lang w:eastAsia="en-GB"/>
        </w:rPr>
        <w:t>as</w:t>
      </w:r>
      <w:r w:rsidR="00491CCF">
        <w:rPr>
          <w:rFonts w:ascii="Arial" w:hAnsi="Arial"/>
          <w:spacing w:val="2"/>
          <w:sz w:val="22"/>
          <w:lang w:eastAsia="en-GB"/>
        </w:rPr>
        <w:t xml:space="preserve"> involved were settled </w:t>
      </w:r>
      <w:r w:rsidR="00A35934">
        <w:rPr>
          <w:rFonts w:ascii="Arial" w:hAnsi="Arial"/>
          <w:spacing w:val="2"/>
          <w:sz w:val="22"/>
          <w:lang w:eastAsia="en-GB"/>
        </w:rPr>
        <w:t xml:space="preserve">following submission of his expert report, </w:t>
      </w:r>
      <w:r w:rsidR="00491CCF">
        <w:rPr>
          <w:rFonts w:ascii="Arial" w:hAnsi="Arial"/>
          <w:spacing w:val="2"/>
          <w:sz w:val="22"/>
          <w:lang w:eastAsia="en-GB"/>
        </w:rPr>
        <w:t>or found in favor of the client.</w:t>
      </w:r>
      <w:r w:rsidR="00A35934">
        <w:rPr>
          <w:rFonts w:ascii="Arial" w:hAnsi="Arial"/>
          <w:spacing w:val="2"/>
          <w:sz w:val="22"/>
          <w:lang w:eastAsia="en-GB"/>
        </w:rPr>
        <w:t xml:space="preserve"> </w:t>
      </w:r>
      <w:r w:rsidRPr="00140799">
        <w:rPr>
          <w:rFonts w:ascii="Arial" w:hAnsi="Arial"/>
          <w:spacing w:val="2"/>
          <w:sz w:val="22"/>
          <w:lang w:eastAsia="en-GB"/>
        </w:rPr>
        <w:t xml:space="preserve">Conducted Proposition 65 risk assessments for </w:t>
      </w:r>
      <w:r w:rsidR="00A35934">
        <w:rPr>
          <w:rFonts w:ascii="Arial" w:hAnsi="Arial"/>
          <w:spacing w:val="2"/>
          <w:sz w:val="22"/>
          <w:lang w:eastAsia="en-GB"/>
        </w:rPr>
        <w:t xml:space="preserve">products as diverse as </w:t>
      </w:r>
      <w:r w:rsidRPr="00140799">
        <w:rPr>
          <w:rFonts w:ascii="Arial" w:hAnsi="Arial"/>
          <w:spacing w:val="2"/>
          <w:sz w:val="22"/>
          <w:lang w:eastAsia="en-GB"/>
        </w:rPr>
        <w:t>fuel additives</w:t>
      </w:r>
      <w:r w:rsidR="00A35934">
        <w:rPr>
          <w:rFonts w:ascii="Arial" w:hAnsi="Arial"/>
          <w:spacing w:val="2"/>
          <w:sz w:val="22"/>
          <w:lang w:eastAsia="en-GB"/>
        </w:rPr>
        <w:t xml:space="preserve"> and grout products</w:t>
      </w:r>
      <w:r w:rsidRPr="00140799">
        <w:rPr>
          <w:rFonts w:ascii="Arial" w:hAnsi="Arial"/>
          <w:spacing w:val="2"/>
          <w:sz w:val="22"/>
          <w:lang w:eastAsia="en-GB"/>
        </w:rPr>
        <w:t xml:space="preserve">.  Assessed exposures and human-health risks associated with mixing/loading and application of turf pesticides on golf courses, as well as bystander exposures.  Testified on behalf of the vent-free gas appliance industry at International Code Council (ICC) hearings </w:t>
      </w:r>
      <w:r w:rsidR="00EC0182">
        <w:rPr>
          <w:rFonts w:ascii="Arial" w:hAnsi="Arial"/>
          <w:spacing w:val="2"/>
          <w:sz w:val="22"/>
          <w:lang w:eastAsia="en-GB"/>
        </w:rPr>
        <w:t>regarding</w:t>
      </w:r>
      <w:r w:rsidRPr="00140799">
        <w:rPr>
          <w:rFonts w:ascii="Arial" w:hAnsi="Arial"/>
          <w:spacing w:val="2"/>
          <w:sz w:val="22"/>
          <w:lang w:eastAsia="en-GB"/>
        </w:rPr>
        <w:t xml:space="preserve"> the International Fuel Gas Code.</w:t>
      </w:r>
    </w:p>
    <w:p w:rsidR="00140799" w:rsidRPr="00140799" w:rsidRDefault="00140799" w:rsidP="00140799">
      <w:pPr>
        <w:tabs>
          <w:tab w:val="left" w:pos="1080"/>
        </w:tabs>
        <w:rPr>
          <w:rFonts w:ascii="Arial" w:hAnsi="Arial"/>
          <w:spacing w:val="2"/>
          <w:sz w:val="22"/>
          <w:lang w:eastAsia="en-GB"/>
        </w:rPr>
      </w:pPr>
    </w:p>
    <w:p w:rsidR="00140799" w:rsidRPr="00140799" w:rsidRDefault="00140799" w:rsidP="00140799">
      <w:pPr>
        <w:tabs>
          <w:tab w:val="left" w:pos="1080"/>
        </w:tabs>
        <w:ind w:left="7200" w:hanging="7200"/>
        <w:jc w:val="both"/>
        <w:rPr>
          <w:rFonts w:ascii="Arial" w:hAnsi="Arial"/>
          <w:b/>
          <w:sz w:val="22"/>
        </w:rPr>
      </w:pPr>
      <w:r w:rsidRPr="00140799">
        <w:rPr>
          <w:rFonts w:ascii="Arial" w:hAnsi="Arial"/>
          <w:b/>
          <w:sz w:val="22"/>
        </w:rPr>
        <w:t>Whitmyre Research</w:t>
      </w:r>
    </w:p>
    <w:p w:rsidR="00140799" w:rsidRPr="00140799" w:rsidRDefault="00140799" w:rsidP="00140799">
      <w:pPr>
        <w:tabs>
          <w:tab w:val="left" w:pos="1080"/>
        </w:tabs>
        <w:ind w:left="7200" w:hanging="7200"/>
        <w:jc w:val="both"/>
        <w:rPr>
          <w:rFonts w:ascii="Arial" w:hAnsi="Arial"/>
          <w:b/>
          <w:sz w:val="22"/>
        </w:rPr>
      </w:pPr>
      <w:r w:rsidRPr="00140799">
        <w:rPr>
          <w:rFonts w:ascii="Arial" w:hAnsi="Arial"/>
          <w:b/>
          <w:sz w:val="22"/>
        </w:rPr>
        <w:t>Arlington, VA</w:t>
      </w:r>
    </w:p>
    <w:p w:rsidR="00140799" w:rsidRPr="00140799" w:rsidRDefault="00491CCF" w:rsidP="00140799">
      <w:pPr>
        <w:tabs>
          <w:tab w:val="left" w:pos="1080"/>
          <w:tab w:val="left" w:pos="3780"/>
          <w:tab w:val="right" w:pos="9360"/>
        </w:tabs>
        <w:ind w:left="7200" w:hanging="7200"/>
        <w:jc w:val="both"/>
        <w:rPr>
          <w:rFonts w:ascii="Arial" w:hAnsi="Arial"/>
          <w:sz w:val="22"/>
          <w:szCs w:val="20"/>
        </w:rPr>
      </w:pPr>
      <w:r>
        <w:rPr>
          <w:rFonts w:ascii="Arial" w:hAnsi="Arial"/>
          <w:sz w:val="22"/>
          <w:szCs w:val="20"/>
        </w:rPr>
        <w:t>Principal</w:t>
      </w:r>
      <w:r>
        <w:rPr>
          <w:rFonts w:ascii="Arial" w:hAnsi="Arial"/>
          <w:sz w:val="22"/>
          <w:szCs w:val="20"/>
        </w:rPr>
        <w:tab/>
      </w:r>
      <w:r>
        <w:rPr>
          <w:rFonts w:ascii="Arial" w:hAnsi="Arial"/>
          <w:sz w:val="22"/>
          <w:szCs w:val="20"/>
        </w:rPr>
        <w:tab/>
      </w:r>
      <w:r>
        <w:rPr>
          <w:rFonts w:ascii="Arial" w:hAnsi="Arial"/>
          <w:sz w:val="22"/>
          <w:szCs w:val="20"/>
        </w:rPr>
        <w:tab/>
      </w:r>
      <w:r>
        <w:rPr>
          <w:rFonts w:ascii="Arial" w:hAnsi="Arial"/>
          <w:sz w:val="22"/>
          <w:szCs w:val="20"/>
        </w:rPr>
        <w:tab/>
        <w:t xml:space="preserve">1999 – </w:t>
      </w:r>
      <w:r w:rsidR="00A35934">
        <w:rPr>
          <w:rFonts w:ascii="Arial" w:hAnsi="Arial"/>
          <w:sz w:val="22"/>
          <w:szCs w:val="20"/>
        </w:rPr>
        <w:t>2017</w:t>
      </w:r>
    </w:p>
    <w:p w:rsidR="00140799" w:rsidRPr="00140799" w:rsidRDefault="00140799" w:rsidP="00140799">
      <w:pPr>
        <w:tabs>
          <w:tab w:val="left" w:pos="1080"/>
        </w:tabs>
        <w:ind w:left="7200" w:hanging="7200"/>
        <w:jc w:val="both"/>
        <w:rPr>
          <w:rFonts w:ascii="Arial" w:hAnsi="Arial"/>
          <w:sz w:val="22"/>
          <w:szCs w:val="20"/>
        </w:rPr>
      </w:pPr>
    </w:p>
    <w:p w:rsidR="00140799" w:rsidRPr="00140799" w:rsidRDefault="00140799" w:rsidP="00140799">
      <w:pPr>
        <w:tabs>
          <w:tab w:val="left" w:pos="1080"/>
        </w:tabs>
        <w:jc w:val="both"/>
        <w:rPr>
          <w:rFonts w:ascii="Arial" w:hAnsi="Arial"/>
          <w:spacing w:val="2"/>
          <w:sz w:val="22"/>
          <w:lang w:eastAsia="en-GB"/>
        </w:rPr>
      </w:pPr>
      <w:r w:rsidRPr="00140799">
        <w:rPr>
          <w:rFonts w:ascii="Arial" w:hAnsi="Arial"/>
          <w:spacing w:val="2"/>
          <w:sz w:val="22"/>
          <w:lang w:eastAsia="en-GB"/>
        </w:rPr>
        <w:t xml:space="preserve">Conducted exposure modeling, toxicology evaluations, risk assessment, and fault-tree analyses to assess human health and safety impacts of green technology, such as alternative refrigerants.  Obtained approvals from the USEPA for the use of alternative hydrocarbon blend refrigerants in residential and commercial refrigerators and freezers, stand-alone coolers, </w:t>
      </w:r>
      <w:r w:rsidR="00491CCF">
        <w:rPr>
          <w:rFonts w:ascii="Arial" w:hAnsi="Arial"/>
          <w:spacing w:val="2"/>
          <w:sz w:val="22"/>
          <w:lang w:eastAsia="en-GB"/>
        </w:rPr>
        <w:t>r</w:t>
      </w:r>
      <w:r w:rsidRPr="00140799">
        <w:rPr>
          <w:rFonts w:ascii="Arial" w:hAnsi="Arial"/>
          <w:spacing w:val="2"/>
          <w:sz w:val="22"/>
          <w:lang w:eastAsia="en-GB"/>
        </w:rPr>
        <w:t>efrigerated vending machines</w:t>
      </w:r>
      <w:r w:rsidR="00491CCF">
        <w:rPr>
          <w:rFonts w:ascii="Arial" w:hAnsi="Arial"/>
          <w:spacing w:val="2"/>
          <w:sz w:val="22"/>
          <w:lang w:eastAsia="en-GB"/>
        </w:rPr>
        <w:t>, and window air conditioners</w:t>
      </w:r>
      <w:r w:rsidRPr="00140799">
        <w:rPr>
          <w:rFonts w:ascii="Arial" w:hAnsi="Arial"/>
          <w:spacing w:val="2"/>
          <w:sz w:val="22"/>
          <w:lang w:eastAsia="en-GB"/>
        </w:rPr>
        <w:t>.  Submitted risk assessments and fault-tree analyses for the use of hydrocarbon blend refrigerants in motor vehicle air conditioning, refrigerated transport</w:t>
      </w:r>
      <w:r w:rsidR="00C57045">
        <w:rPr>
          <w:rFonts w:ascii="Arial" w:hAnsi="Arial"/>
          <w:spacing w:val="2"/>
          <w:sz w:val="22"/>
          <w:lang w:eastAsia="en-GB"/>
        </w:rPr>
        <w:t>, and split-system residential air conditioning</w:t>
      </w:r>
      <w:r w:rsidRPr="00140799">
        <w:rPr>
          <w:rFonts w:ascii="Arial" w:hAnsi="Arial"/>
          <w:spacing w:val="2"/>
          <w:sz w:val="22"/>
          <w:lang w:eastAsia="en-GB"/>
        </w:rPr>
        <w:t xml:space="preserve">. </w:t>
      </w:r>
    </w:p>
    <w:p w:rsidR="00140799" w:rsidRPr="00140799" w:rsidRDefault="00140799" w:rsidP="00140799">
      <w:pPr>
        <w:rPr>
          <w:rFonts w:ascii="Arial" w:hAnsi="Arial"/>
          <w:b/>
          <w:sz w:val="22"/>
        </w:rPr>
      </w:pPr>
    </w:p>
    <w:p w:rsidR="00140799" w:rsidRPr="00140799" w:rsidRDefault="00140799" w:rsidP="00140799">
      <w:pPr>
        <w:tabs>
          <w:tab w:val="left" w:pos="1080"/>
        </w:tabs>
        <w:ind w:left="7200" w:hanging="7200"/>
        <w:jc w:val="both"/>
        <w:rPr>
          <w:rFonts w:ascii="Arial" w:hAnsi="Arial"/>
          <w:b/>
          <w:sz w:val="22"/>
        </w:rPr>
      </w:pPr>
      <w:proofErr w:type="spellStart"/>
      <w:proofErr w:type="gramStart"/>
      <w:r w:rsidRPr="00140799">
        <w:rPr>
          <w:rFonts w:ascii="Arial" w:hAnsi="Arial"/>
          <w:b/>
          <w:sz w:val="22"/>
        </w:rPr>
        <w:t>risksciences</w:t>
      </w:r>
      <w:proofErr w:type="spellEnd"/>
      <w:proofErr w:type="gramEnd"/>
      <w:r w:rsidRPr="00140799">
        <w:rPr>
          <w:rFonts w:ascii="Arial" w:hAnsi="Arial"/>
          <w:b/>
          <w:sz w:val="22"/>
        </w:rPr>
        <w:t xml:space="preserve">, LLC  </w:t>
      </w:r>
    </w:p>
    <w:p w:rsidR="00140799" w:rsidRPr="00140799" w:rsidRDefault="00140799" w:rsidP="00140799">
      <w:pPr>
        <w:tabs>
          <w:tab w:val="left" w:pos="1080"/>
        </w:tabs>
        <w:ind w:left="7200" w:hanging="7200"/>
        <w:jc w:val="both"/>
        <w:rPr>
          <w:rFonts w:ascii="CG Times" w:hAnsi="CG Times"/>
          <w:sz w:val="22"/>
        </w:rPr>
      </w:pPr>
      <w:r w:rsidRPr="00140799">
        <w:rPr>
          <w:rFonts w:ascii="Arial" w:hAnsi="Arial"/>
          <w:b/>
          <w:sz w:val="22"/>
        </w:rPr>
        <w:t>Arlington, VA</w:t>
      </w:r>
    </w:p>
    <w:p w:rsidR="00140799" w:rsidRPr="00140799" w:rsidRDefault="00140799" w:rsidP="00140799">
      <w:pPr>
        <w:tabs>
          <w:tab w:val="left" w:pos="1080"/>
          <w:tab w:val="left" w:pos="3780"/>
          <w:tab w:val="right" w:pos="9360"/>
        </w:tabs>
        <w:ind w:left="7200" w:hanging="7200"/>
        <w:jc w:val="both"/>
        <w:rPr>
          <w:rFonts w:ascii="CG Times" w:hAnsi="CG Times"/>
          <w:sz w:val="22"/>
        </w:rPr>
      </w:pPr>
      <w:r w:rsidRPr="00140799">
        <w:rPr>
          <w:rFonts w:ascii="Arial" w:hAnsi="Arial"/>
          <w:sz w:val="22"/>
          <w:szCs w:val="20"/>
        </w:rPr>
        <w:t>Principal</w:t>
      </w:r>
      <w:r w:rsidRPr="00140799">
        <w:rPr>
          <w:rFonts w:ascii="CG Times" w:hAnsi="CG Times"/>
          <w:sz w:val="22"/>
        </w:rPr>
        <w:tab/>
      </w:r>
      <w:r w:rsidRPr="00140799">
        <w:rPr>
          <w:rFonts w:ascii="CG Times" w:hAnsi="CG Times"/>
          <w:sz w:val="22"/>
        </w:rPr>
        <w:tab/>
      </w:r>
      <w:r w:rsidRPr="00140799">
        <w:rPr>
          <w:rFonts w:ascii="CG Times" w:hAnsi="CG Times"/>
          <w:sz w:val="22"/>
        </w:rPr>
        <w:tab/>
      </w:r>
      <w:r w:rsidRPr="00140799">
        <w:rPr>
          <w:rFonts w:ascii="CG Times" w:hAnsi="CG Times"/>
          <w:sz w:val="22"/>
        </w:rPr>
        <w:tab/>
      </w:r>
      <w:r w:rsidRPr="00140799">
        <w:rPr>
          <w:rFonts w:ascii="Arial" w:hAnsi="Arial"/>
          <w:sz w:val="22"/>
          <w:szCs w:val="20"/>
        </w:rPr>
        <w:t>1997 - 2011</w:t>
      </w:r>
      <w:r w:rsidRPr="00140799">
        <w:rPr>
          <w:rFonts w:ascii="CG Times" w:hAnsi="CG Times"/>
          <w:sz w:val="22"/>
        </w:rPr>
        <w:t xml:space="preserve"> </w:t>
      </w:r>
    </w:p>
    <w:p w:rsidR="00140799" w:rsidRPr="00140799" w:rsidRDefault="00140799" w:rsidP="00140799">
      <w:pPr>
        <w:tabs>
          <w:tab w:val="left" w:pos="1080"/>
        </w:tabs>
        <w:ind w:left="7200" w:hanging="7200"/>
        <w:jc w:val="both"/>
        <w:rPr>
          <w:sz w:val="22"/>
        </w:rPr>
      </w:pPr>
    </w:p>
    <w:p w:rsidR="00140799" w:rsidRPr="00140799" w:rsidRDefault="00140799" w:rsidP="00140799">
      <w:pPr>
        <w:tabs>
          <w:tab w:val="left" w:pos="1080"/>
        </w:tabs>
        <w:jc w:val="both"/>
        <w:rPr>
          <w:sz w:val="22"/>
        </w:rPr>
      </w:pPr>
      <w:r w:rsidRPr="00140799">
        <w:rPr>
          <w:rFonts w:ascii="Arial" w:hAnsi="Arial"/>
          <w:spacing w:val="2"/>
          <w:sz w:val="22"/>
          <w:lang w:eastAsia="en-GB"/>
        </w:rPr>
        <w:t xml:space="preserve">Responsible for human exposure assessment and risk assessment of chemicals released in indoor environments.  Served as an exposure </w:t>
      </w:r>
      <w:r w:rsidR="009D626F">
        <w:rPr>
          <w:rFonts w:ascii="Arial" w:hAnsi="Arial"/>
          <w:spacing w:val="2"/>
          <w:sz w:val="22"/>
          <w:lang w:eastAsia="en-GB"/>
        </w:rPr>
        <w:t>assessment</w:t>
      </w:r>
      <w:r w:rsidRPr="00140799">
        <w:rPr>
          <w:rFonts w:ascii="Arial" w:hAnsi="Arial"/>
          <w:spacing w:val="2"/>
          <w:sz w:val="22"/>
          <w:lang w:eastAsia="en-GB"/>
        </w:rPr>
        <w:t xml:space="preserve"> expert for litigation cases involving carbon monoxide exposures, residential exposures to wood treatment chemicals and </w:t>
      </w:r>
      <w:proofErr w:type="spellStart"/>
      <w:r w:rsidRPr="00140799">
        <w:rPr>
          <w:rFonts w:ascii="Arial" w:hAnsi="Arial"/>
          <w:spacing w:val="2"/>
          <w:sz w:val="22"/>
          <w:lang w:eastAsia="en-GB"/>
        </w:rPr>
        <w:t>termiticides</w:t>
      </w:r>
      <w:proofErr w:type="spellEnd"/>
      <w:r w:rsidRPr="00140799">
        <w:rPr>
          <w:rFonts w:ascii="Arial" w:hAnsi="Arial"/>
          <w:spacing w:val="2"/>
          <w:sz w:val="22"/>
          <w:lang w:eastAsia="en-GB"/>
        </w:rPr>
        <w:t>,</w:t>
      </w:r>
      <w:r w:rsidR="00EC0182">
        <w:rPr>
          <w:rFonts w:ascii="Arial" w:hAnsi="Arial"/>
          <w:spacing w:val="2"/>
          <w:sz w:val="22"/>
          <w:lang w:eastAsia="en-GB"/>
        </w:rPr>
        <w:t xml:space="preserve"> </w:t>
      </w:r>
      <w:r w:rsidRPr="00140799">
        <w:rPr>
          <w:rFonts w:ascii="Arial" w:hAnsi="Arial"/>
          <w:spacing w:val="2"/>
          <w:sz w:val="22"/>
          <w:lang w:eastAsia="en-GB"/>
        </w:rPr>
        <w:t>and</w:t>
      </w:r>
      <w:r w:rsidRPr="00140799">
        <w:rPr>
          <w:sz w:val="22"/>
        </w:rPr>
        <w:t xml:space="preserve"> </w:t>
      </w:r>
      <w:r w:rsidRPr="00140799">
        <w:rPr>
          <w:rFonts w:ascii="Arial" w:hAnsi="Arial"/>
          <w:spacing w:val="2"/>
          <w:sz w:val="22"/>
          <w:lang w:eastAsia="en-GB"/>
        </w:rPr>
        <w:t xml:space="preserve">occupational exposures to benzene. Conducted probabilistic modeling of indoor air concentrations of combustion products from vent-free gas heaters; and modeling of emissions and exposures to chemicals released to indoor air during use of </w:t>
      </w:r>
      <w:r w:rsidR="00EC0182">
        <w:rPr>
          <w:rFonts w:ascii="Arial" w:hAnsi="Arial"/>
          <w:spacing w:val="2"/>
          <w:sz w:val="22"/>
          <w:lang w:eastAsia="en-GB"/>
        </w:rPr>
        <w:t>gas appliances</w:t>
      </w:r>
      <w:r w:rsidRPr="00140799">
        <w:rPr>
          <w:rFonts w:ascii="Arial" w:hAnsi="Arial"/>
          <w:spacing w:val="2"/>
          <w:sz w:val="22"/>
          <w:lang w:eastAsia="en-GB"/>
        </w:rPr>
        <w:t>. Conducted California Proposition 65 risk assessments for various products, including hard-surface cleaners, air fragrance products, indoor-use pesticides, skin care and personal care products, bathroom cleaning products, laundry products, lawn care products, and medical devices.  Completed EU dossiers, including toxicology sections, for pesticide active ingredients and pesticide products, as well as biocides (i.e., antimicrobials).</w:t>
      </w:r>
      <w:r w:rsidRPr="00140799">
        <w:rPr>
          <w:sz w:val="22"/>
        </w:rPr>
        <w:t xml:space="preserve"> </w:t>
      </w:r>
    </w:p>
    <w:p w:rsidR="007D078F" w:rsidRDefault="007D078F">
      <w:pPr>
        <w:rPr>
          <w:rFonts w:ascii="Arial" w:hAnsi="Arial"/>
          <w:b/>
          <w:sz w:val="22"/>
        </w:rPr>
      </w:pPr>
    </w:p>
    <w:p w:rsidR="00140799" w:rsidRPr="00140799" w:rsidRDefault="00140799" w:rsidP="00140799">
      <w:pPr>
        <w:tabs>
          <w:tab w:val="left" w:pos="1080"/>
        </w:tabs>
        <w:ind w:left="7920" w:hanging="7920"/>
        <w:jc w:val="both"/>
        <w:rPr>
          <w:rFonts w:ascii="Arial" w:hAnsi="Arial"/>
          <w:b/>
          <w:sz w:val="22"/>
        </w:rPr>
      </w:pPr>
      <w:r w:rsidRPr="00140799">
        <w:rPr>
          <w:rFonts w:ascii="Arial" w:hAnsi="Arial"/>
          <w:b/>
          <w:sz w:val="22"/>
        </w:rPr>
        <w:t>Technology Sciences Group (TSG)</w:t>
      </w:r>
    </w:p>
    <w:p w:rsidR="00140799" w:rsidRPr="00140799" w:rsidRDefault="00140799" w:rsidP="00140799">
      <w:pPr>
        <w:tabs>
          <w:tab w:val="left" w:pos="1080"/>
        </w:tabs>
        <w:ind w:left="7200" w:hanging="7200"/>
        <w:jc w:val="both"/>
        <w:rPr>
          <w:rFonts w:ascii="Arial" w:hAnsi="Arial"/>
          <w:b/>
          <w:sz w:val="22"/>
        </w:rPr>
      </w:pPr>
      <w:r w:rsidRPr="00140799">
        <w:rPr>
          <w:rFonts w:ascii="Arial" w:hAnsi="Arial"/>
          <w:b/>
          <w:sz w:val="22"/>
        </w:rPr>
        <w:t>Washington, D.C.</w:t>
      </w:r>
    </w:p>
    <w:p w:rsidR="00140799" w:rsidRPr="00140799" w:rsidRDefault="00140799" w:rsidP="00140799">
      <w:pPr>
        <w:tabs>
          <w:tab w:val="left" w:pos="1080"/>
          <w:tab w:val="left" w:pos="6480"/>
          <w:tab w:val="right" w:pos="9360"/>
        </w:tabs>
        <w:ind w:left="7200" w:hanging="7200"/>
        <w:jc w:val="both"/>
        <w:rPr>
          <w:rFonts w:ascii="Arial" w:hAnsi="Arial"/>
          <w:sz w:val="22"/>
          <w:szCs w:val="20"/>
        </w:rPr>
      </w:pPr>
      <w:r w:rsidRPr="00140799">
        <w:rPr>
          <w:rFonts w:ascii="Arial" w:hAnsi="Arial"/>
          <w:sz w:val="22"/>
          <w:szCs w:val="20"/>
        </w:rPr>
        <w:t>Director, Human Exposure and Risk Assessment</w:t>
      </w:r>
      <w:r w:rsidRPr="00140799">
        <w:rPr>
          <w:rFonts w:ascii="CG Times" w:hAnsi="CG Times"/>
          <w:sz w:val="22"/>
        </w:rPr>
        <w:tab/>
      </w:r>
      <w:r w:rsidRPr="00140799">
        <w:rPr>
          <w:rFonts w:ascii="CG Times" w:hAnsi="CG Times"/>
          <w:sz w:val="22"/>
        </w:rPr>
        <w:tab/>
      </w:r>
      <w:r w:rsidRPr="00140799">
        <w:rPr>
          <w:rFonts w:ascii="CG Times" w:hAnsi="CG Times"/>
          <w:sz w:val="22"/>
        </w:rPr>
        <w:tab/>
      </w:r>
      <w:r w:rsidRPr="00140799">
        <w:rPr>
          <w:rFonts w:ascii="Arial" w:hAnsi="Arial"/>
          <w:sz w:val="22"/>
          <w:szCs w:val="20"/>
        </w:rPr>
        <w:t>1992 – 1997</w:t>
      </w:r>
    </w:p>
    <w:p w:rsidR="00140799" w:rsidRPr="00140799" w:rsidRDefault="00140799" w:rsidP="00140799">
      <w:pPr>
        <w:tabs>
          <w:tab w:val="left" w:pos="1080"/>
        </w:tabs>
        <w:ind w:left="7200" w:hanging="7200"/>
        <w:jc w:val="both"/>
        <w:rPr>
          <w:rFonts w:ascii="Arial" w:hAnsi="Arial"/>
          <w:sz w:val="22"/>
          <w:szCs w:val="20"/>
        </w:rPr>
      </w:pPr>
    </w:p>
    <w:p w:rsidR="00140799" w:rsidRPr="00140799" w:rsidRDefault="00140799" w:rsidP="00140799">
      <w:pPr>
        <w:tabs>
          <w:tab w:val="left" w:pos="1080"/>
        </w:tabs>
        <w:jc w:val="both"/>
        <w:rPr>
          <w:rFonts w:ascii="Arial" w:hAnsi="Arial"/>
          <w:spacing w:val="2"/>
          <w:sz w:val="22"/>
          <w:lang w:eastAsia="en-GB"/>
        </w:rPr>
      </w:pPr>
      <w:r w:rsidRPr="00140799">
        <w:rPr>
          <w:rFonts w:ascii="Arial" w:hAnsi="Arial"/>
          <w:spacing w:val="2"/>
          <w:sz w:val="22"/>
          <w:lang w:eastAsia="en-GB"/>
        </w:rPr>
        <w:t xml:space="preserve">Responsible for development of consumer product exposure assessments relative to California Proposition 65 and USEPA registrations. Modeled ink/toner airborne particulate emissions from printers. Modeled emissions and exposures from use of indoor crack and crevice, fogger, </w:t>
      </w:r>
      <w:r w:rsidR="009D626F">
        <w:rPr>
          <w:rFonts w:ascii="Arial" w:hAnsi="Arial"/>
          <w:spacing w:val="2"/>
          <w:sz w:val="22"/>
          <w:lang w:eastAsia="en-GB"/>
        </w:rPr>
        <w:t xml:space="preserve">and </w:t>
      </w:r>
      <w:r w:rsidRPr="00140799">
        <w:rPr>
          <w:rFonts w:ascii="Arial" w:hAnsi="Arial"/>
          <w:spacing w:val="2"/>
          <w:sz w:val="22"/>
          <w:lang w:eastAsia="en-GB"/>
        </w:rPr>
        <w:t>room spray pesticides used indoors, and dust mite-control products with regard to sensitive populations.  Estimated occupational exposures to pesticides and assessed potential risk.</w:t>
      </w:r>
    </w:p>
    <w:p w:rsidR="00140799" w:rsidRPr="00140799" w:rsidRDefault="00140799" w:rsidP="00140799">
      <w:pPr>
        <w:tabs>
          <w:tab w:val="left" w:pos="1080"/>
        </w:tabs>
        <w:ind w:left="7920" w:hanging="7920"/>
        <w:jc w:val="both"/>
        <w:rPr>
          <w:rFonts w:ascii="Arial" w:hAnsi="Arial"/>
          <w:b/>
          <w:sz w:val="22"/>
        </w:rPr>
      </w:pPr>
      <w:proofErr w:type="spellStart"/>
      <w:r w:rsidRPr="00140799">
        <w:rPr>
          <w:rFonts w:ascii="Arial" w:hAnsi="Arial"/>
          <w:b/>
          <w:sz w:val="22"/>
        </w:rPr>
        <w:t>Versar</w:t>
      </w:r>
      <w:proofErr w:type="spellEnd"/>
      <w:r w:rsidRPr="00140799">
        <w:rPr>
          <w:rFonts w:ascii="Arial" w:hAnsi="Arial"/>
          <w:b/>
          <w:sz w:val="22"/>
        </w:rPr>
        <w:t>, Inc.</w:t>
      </w:r>
    </w:p>
    <w:p w:rsidR="00140799" w:rsidRPr="00140799" w:rsidRDefault="00140799" w:rsidP="00140799">
      <w:pPr>
        <w:tabs>
          <w:tab w:val="left" w:pos="1080"/>
        </w:tabs>
        <w:ind w:left="7920" w:hanging="7920"/>
        <w:jc w:val="both"/>
        <w:rPr>
          <w:rFonts w:ascii="Arial" w:hAnsi="Arial"/>
          <w:b/>
          <w:sz w:val="22"/>
        </w:rPr>
      </w:pPr>
      <w:r w:rsidRPr="00140799">
        <w:rPr>
          <w:rFonts w:ascii="Arial" w:hAnsi="Arial"/>
          <w:b/>
          <w:sz w:val="22"/>
        </w:rPr>
        <w:lastRenderedPageBreak/>
        <w:t>Springfield, VA</w:t>
      </w:r>
    </w:p>
    <w:p w:rsidR="00140799" w:rsidRPr="00140799" w:rsidRDefault="00140799" w:rsidP="00140799">
      <w:pPr>
        <w:tabs>
          <w:tab w:val="left" w:pos="1080"/>
          <w:tab w:val="left" w:pos="6480"/>
          <w:tab w:val="right" w:pos="9360"/>
        </w:tabs>
        <w:ind w:left="7200" w:hanging="7200"/>
        <w:jc w:val="both"/>
        <w:rPr>
          <w:rFonts w:ascii="Arial" w:hAnsi="Arial"/>
          <w:sz w:val="22"/>
          <w:szCs w:val="20"/>
        </w:rPr>
      </w:pPr>
      <w:r w:rsidRPr="00140799">
        <w:rPr>
          <w:rFonts w:ascii="Arial" w:hAnsi="Arial"/>
          <w:sz w:val="22"/>
          <w:szCs w:val="20"/>
        </w:rPr>
        <w:t xml:space="preserve">Senior Toxicologist, </w:t>
      </w:r>
      <w:proofErr w:type="spellStart"/>
      <w:r w:rsidRPr="00140799">
        <w:rPr>
          <w:rFonts w:ascii="Arial" w:hAnsi="Arial"/>
          <w:sz w:val="22"/>
          <w:szCs w:val="20"/>
        </w:rPr>
        <w:t>RiskFocus</w:t>
      </w:r>
      <w:proofErr w:type="spellEnd"/>
      <w:r w:rsidRPr="00140799">
        <w:rPr>
          <w:rFonts w:ascii="Arial" w:hAnsi="Arial"/>
          <w:sz w:val="22"/>
          <w:szCs w:val="20"/>
        </w:rPr>
        <w:t xml:space="preserve"> Division</w:t>
      </w:r>
      <w:r w:rsidRPr="00140799">
        <w:rPr>
          <w:rFonts w:ascii="CG Times" w:hAnsi="CG Times"/>
          <w:sz w:val="22"/>
        </w:rPr>
        <w:tab/>
      </w:r>
      <w:r w:rsidRPr="00140799">
        <w:rPr>
          <w:rFonts w:ascii="CG Times" w:hAnsi="CG Times"/>
          <w:sz w:val="22"/>
        </w:rPr>
        <w:tab/>
      </w:r>
      <w:r w:rsidRPr="00140799">
        <w:rPr>
          <w:rFonts w:ascii="CG Times" w:hAnsi="CG Times"/>
          <w:sz w:val="22"/>
        </w:rPr>
        <w:tab/>
      </w:r>
      <w:r w:rsidRPr="00140799">
        <w:rPr>
          <w:rFonts w:ascii="Arial" w:hAnsi="Arial"/>
          <w:sz w:val="22"/>
          <w:szCs w:val="20"/>
        </w:rPr>
        <w:t>1985 – 1992</w:t>
      </w:r>
    </w:p>
    <w:p w:rsidR="00140799" w:rsidRPr="00140799" w:rsidRDefault="00140799" w:rsidP="00140799">
      <w:pPr>
        <w:tabs>
          <w:tab w:val="left" w:pos="1080"/>
        </w:tabs>
        <w:ind w:left="7200" w:hanging="7200"/>
        <w:jc w:val="both"/>
        <w:rPr>
          <w:rFonts w:ascii="CG Times" w:hAnsi="CG Times"/>
          <w:sz w:val="22"/>
        </w:rPr>
      </w:pPr>
    </w:p>
    <w:p w:rsidR="00140799" w:rsidRPr="00140799" w:rsidRDefault="00140799" w:rsidP="00140799">
      <w:pPr>
        <w:tabs>
          <w:tab w:val="left" w:pos="1080"/>
        </w:tabs>
        <w:jc w:val="both"/>
        <w:rPr>
          <w:rFonts w:ascii="Arial" w:hAnsi="Arial"/>
          <w:spacing w:val="2"/>
          <w:sz w:val="22"/>
          <w:lang w:eastAsia="en-GB"/>
        </w:rPr>
      </w:pPr>
      <w:r w:rsidRPr="00140799">
        <w:rPr>
          <w:rFonts w:ascii="Arial" w:hAnsi="Arial"/>
          <w:spacing w:val="2"/>
          <w:sz w:val="22"/>
          <w:lang w:eastAsia="en-GB"/>
        </w:rPr>
        <w:t>Responsible for exposure/risk assessments for consumer products under Proposition 65. Developed exposure estimation tools for the USEPA’s Office of Research and Development (ORD), Office of Toxic Substances (OTS), and Office of Pesticide Programs (OPP).  Assessed various consumer products, including cosmetics, inks, and other products under California’s Proposition 65.  Assisted in development of ORD’s dermal exposure assessment guidance document, created new exposure assessment tools for chemical emissions from consumer products for OTS, and developed the Pesticide Handlers Exposure Database.</w:t>
      </w:r>
    </w:p>
    <w:p w:rsidR="00140799" w:rsidRPr="00140799" w:rsidRDefault="00140799" w:rsidP="00140799">
      <w:pPr>
        <w:tabs>
          <w:tab w:val="left" w:pos="1080"/>
        </w:tabs>
        <w:rPr>
          <w:rFonts w:ascii="Arial" w:hAnsi="Arial"/>
          <w:spacing w:val="2"/>
          <w:sz w:val="22"/>
          <w:lang w:eastAsia="en-GB"/>
        </w:rPr>
      </w:pPr>
      <w:r w:rsidRPr="00140799">
        <w:rPr>
          <w:rFonts w:ascii="Arial" w:hAnsi="Arial"/>
          <w:spacing w:val="2"/>
          <w:sz w:val="22"/>
          <w:lang w:eastAsia="en-GB"/>
        </w:rPr>
        <w:t xml:space="preserve"> </w:t>
      </w:r>
    </w:p>
    <w:p w:rsidR="00140799" w:rsidRPr="00140799" w:rsidRDefault="00140799" w:rsidP="00140799">
      <w:pPr>
        <w:tabs>
          <w:tab w:val="left" w:pos="1080"/>
        </w:tabs>
        <w:ind w:left="7920" w:hanging="7920"/>
        <w:jc w:val="both"/>
        <w:rPr>
          <w:rFonts w:ascii="Arial" w:hAnsi="Arial"/>
          <w:b/>
          <w:sz w:val="22"/>
        </w:rPr>
      </w:pPr>
      <w:r w:rsidRPr="00140799">
        <w:rPr>
          <w:rFonts w:ascii="Arial" w:hAnsi="Arial"/>
          <w:b/>
          <w:sz w:val="22"/>
        </w:rPr>
        <w:t xml:space="preserve">Life Systems, Inc. </w:t>
      </w:r>
    </w:p>
    <w:p w:rsidR="00140799" w:rsidRPr="00140799" w:rsidRDefault="00140799" w:rsidP="00140799">
      <w:pPr>
        <w:tabs>
          <w:tab w:val="left" w:pos="1080"/>
        </w:tabs>
        <w:ind w:left="7920" w:hanging="7920"/>
        <w:jc w:val="both"/>
        <w:rPr>
          <w:rFonts w:ascii="Arial" w:hAnsi="Arial"/>
          <w:b/>
          <w:sz w:val="22"/>
        </w:rPr>
      </w:pPr>
      <w:r w:rsidRPr="00140799">
        <w:rPr>
          <w:rFonts w:ascii="Arial" w:hAnsi="Arial"/>
          <w:b/>
          <w:sz w:val="22"/>
        </w:rPr>
        <w:t>Arlington, VA</w:t>
      </w:r>
    </w:p>
    <w:p w:rsidR="00140799" w:rsidRPr="00140799" w:rsidRDefault="00140799" w:rsidP="00140799">
      <w:pPr>
        <w:tabs>
          <w:tab w:val="left" w:pos="1080"/>
          <w:tab w:val="left" w:pos="6480"/>
          <w:tab w:val="right" w:pos="9360"/>
        </w:tabs>
        <w:ind w:left="7200" w:hanging="7200"/>
        <w:jc w:val="both"/>
        <w:rPr>
          <w:rFonts w:ascii="CG Times" w:hAnsi="CG Times"/>
          <w:sz w:val="22"/>
        </w:rPr>
      </w:pPr>
      <w:r w:rsidRPr="00140799">
        <w:rPr>
          <w:rFonts w:ascii="Arial" w:hAnsi="Arial"/>
          <w:sz w:val="22"/>
          <w:szCs w:val="20"/>
        </w:rPr>
        <w:t>Health Scientist</w:t>
      </w:r>
      <w:r w:rsidRPr="00140799">
        <w:rPr>
          <w:rFonts w:ascii="CG Times" w:hAnsi="CG Times"/>
          <w:sz w:val="22"/>
        </w:rPr>
        <w:tab/>
      </w:r>
      <w:r w:rsidRPr="00140799">
        <w:rPr>
          <w:rFonts w:ascii="CG Times" w:hAnsi="CG Times"/>
          <w:sz w:val="22"/>
        </w:rPr>
        <w:tab/>
      </w:r>
      <w:r w:rsidRPr="00140799">
        <w:rPr>
          <w:rFonts w:ascii="CG Times" w:hAnsi="CG Times"/>
          <w:sz w:val="22"/>
        </w:rPr>
        <w:tab/>
      </w:r>
      <w:r w:rsidRPr="00140799">
        <w:rPr>
          <w:rFonts w:ascii="Arial" w:hAnsi="Arial"/>
          <w:sz w:val="22"/>
          <w:szCs w:val="20"/>
        </w:rPr>
        <w:t>1984 – 1985</w:t>
      </w:r>
    </w:p>
    <w:p w:rsidR="00140799" w:rsidRPr="00140799" w:rsidRDefault="00140799" w:rsidP="00140799">
      <w:pPr>
        <w:tabs>
          <w:tab w:val="left" w:pos="1080"/>
          <w:tab w:val="left" w:pos="6480"/>
          <w:tab w:val="right" w:pos="9360"/>
        </w:tabs>
        <w:ind w:left="7200" w:hanging="7200"/>
        <w:jc w:val="both"/>
        <w:rPr>
          <w:rFonts w:ascii="CG Times" w:hAnsi="CG Times"/>
          <w:sz w:val="22"/>
        </w:rPr>
      </w:pPr>
    </w:p>
    <w:p w:rsidR="00140799" w:rsidRPr="00140799" w:rsidRDefault="00140799" w:rsidP="00140799">
      <w:pPr>
        <w:tabs>
          <w:tab w:val="left" w:pos="1080"/>
        </w:tabs>
        <w:jc w:val="both"/>
        <w:rPr>
          <w:rFonts w:ascii="Arial" w:hAnsi="Arial"/>
          <w:spacing w:val="2"/>
          <w:sz w:val="22"/>
          <w:lang w:eastAsia="en-GB"/>
        </w:rPr>
      </w:pPr>
      <w:r w:rsidRPr="00140799">
        <w:rPr>
          <w:rFonts w:ascii="Arial" w:hAnsi="Arial"/>
          <w:spacing w:val="2"/>
          <w:sz w:val="22"/>
          <w:lang w:eastAsia="en-GB"/>
        </w:rPr>
        <w:t>Responsible for technical support to the Office of Toxic Substances, USEPA, as contractor for development of exposure assessment case studies for PMN chemicals.</w:t>
      </w:r>
    </w:p>
    <w:p w:rsidR="00140799" w:rsidRPr="00140799" w:rsidRDefault="00140799" w:rsidP="00140799">
      <w:pPr>
        <w:tabs>
          <w:tab w:val="left" w:pos="1080"/>
        </w:tabs>
        <w:jc w:val="both"/>
        <w:rPr>
          <w:rFonts w:ascii="CG Times" w:hAnsi="CG Times"/>
          <w:sz w:val="22"/>
        </w:rPr>
      </w:pPr>
      <w:r w:rsidRPr="00140799">
        <w:rPr>
          <w:rFonts w:ascii="CG Times" w:hAnsi="CG Times"/>
          <w:sz w:val="22"/>
        </w:rPr>
        <w:t xml:space="preserve"> </w:t>
      </w:r>
    </w:p>
    <w:p w:rsidR="00140799" w:rsidRPr="00140799" w:rsidRDefault="00140799" w:rsidP="00140799">
      <w:pPr>
        <w:tabs>
          <w:tab w:val="right" w:pos="10227"/>
        </w:tabs>
        <w:jc w:val="both"/>
        <w:rPr>
          <w:rFonts w:ascii="Arial" w:hAnsi="Arial"/>
          <w:b/>
          <w:sz w:val="22"/>
        </w:rPr>
      </w:pPr>
      <w:r w:rsidRPr="00140799">
        <w:rPr>
          <w:rFonts w:ascii="Arial" w:hAnsi="Arial"/>
          <w:b/>
          <w:sz w:val="22"/>
        </w:rPr>
        <w:t>U.S. Synthetic Fuels Corp.</w:t>
      </w:r>
    </w:p>
    <w:p w:rsidR="00140799" w:rsidRPr="00140799" w:rsidRDefault="00140799" w:rsidP="00140799">
      <w:pPr>
        <w:tabs>
          <w:tab w:val="right" w:pos="10227"/>
        </w:tabs>
        <w:jc w:val="both"/>
        <w:rPr>
          <w:rFonts w:ascii="Arial" w:hAnsi="Arial"/>
          <w:b/>
          <w:sz w:val="22"/>
        </w:rPr>
      </w:pPr>
      <w:r w:rsidRPr="00140799">
        <w:rPr>
          <w:rFonts w:ascii="Arial" w:hAnsi="Arial"/>
          <w:b/>
          <w:sz w:val="22"/>
        </w:rPr>
        <w:t>Washington, D.C.</w:t>
      </w:r>
    </w:p>
    <w:p w:rsidR="00140799" w:rsidRPr="00140799" w:rsidRDefault="00140799" w:rsidP="00140799">
      <w:pPr>
        <w:tabs>
          <w:tab w:val="left" w:pos="6480"/>
          <w:tab w:val="right" w:pos="9360"/>
        </w:tabs>
        <w:ind w:right="1965"/>
        <w:jc w:val="both"/>
        <w:rPr>
          <w:rFonts w:ascii="CG Times" w:hAnsi="CG Times"/>
          <w:sz w:val="22"/>
        </w:rPr>
      </w:pPr>
      <w:r w:rsidRPr="00140799">
        <w:rPr>
          <w:rFonts w:ascii="Arial" w:hAnsi="Arial"/>
          <w:sz w:val="22"/>
          <w:szCs w:val="20"/>
        </w:rPr>
        <w:t>Environmental and Health Analyst</w:t>
      </w:r>
      <w:r w:rsidRPr="00140799">
        <w:rPr>
          <w:rFonts w:ascii="CG Times" w:hAnsi="CG Times"/>
          <w:sz w:val="22"/>
        </w:rPr>
        <w:tab/>
      </w:r>
      <w:r w:rsidRPr="00140799">
        <w:rPr>
          <w:rFonts w:ascii="CG Times" w:hAnsi="CG Times"/>
          <w:sz w:val="22"/>
        </w:rPr>
        <w:tab/>
      </w:r>
      <w:r w:rsidRPr="00140799">
        <w:rPr>
          <w:rFonts w:ascii="Arial" w:hAnsi="Arial"/>
          <w:sz w:val="22"/>
          <w:szCs w:val="20"/>
        </w:rPr>
        <w:t>1983 - 1984</w:t>
      </w:r>
    </w:p>
    <w:p w:rsidR="00140799" w:rsidRPr="00140799" w:rsidRDefault="00140799" w:rsidP="00140799">
      <w:pPr>
        <w:tabs>
          <w:tab w:val="left" w:pos="1080"/>
        </w:tabs>
        <w:rPr>
          <w:rFonts w:ascii="Arial" w:hAnsi="Arial"/>
          <w:spacing w:val="2"/>
          <w:sz w:val="22"/>
          <w:lang w:eastAsia="en-GB"/>
        </w:rPr>
      </w:pPr>
    </w:p>
    <w:p w:rsidR="00140799" w:rsidRPr="00140799" w:rsidRDefault="00140799" w:rsidP="00140799">
      <w:pPr>
        <w:tabs>
          <w:tab w:val="left" w:pos="1080"/>
        </w:tabs>
        <w:jc w:val="both"/>
        <w:rPr>
          <w:rFonts w:ascii="Arial" w:hAnsi="Arial"/>
          <w:spacing w:val="2"/>
          <w:sz w:val="22"/>
          <w:lang w:eastAsia="en-GB"/>
        </w:rPr>
      </w:pPr>
      <w:r w:rsidRPr="00140799">
        <w:rPr>
          <w:rFonts w:ascii="Arial" w:hAnsi="Arial"/>
          <w:spacing w:val="2"/>
          <w:sz w:val="22"/>
          <w:lang w:eastAsia="en-GB"/>
        </w:rPr>
        <w:t>Responsible for development of environmental monitoring plan guidance for synthetic fuels facilities; directed meetings with synthetic fuels manufacturers.</w:t>
      </w:r>
    </w:p>
    <w:p w:rsidR="00140799" w:rsidRPr="00140799" w:rsidRDefault="00140799" w:rsidP="00140799">
      <w:pPr>
        <w:tabs>
          <w:tab w:val="left" w:pos="1080"/>
        </w:tabs>
        <w:jc w:val="both"/>
        <w:rPr>
          <w:rFonts w:ascii="Arial" w:hAnsi="Arial"/>
          <w:spacing w:val="2"/>
          <w:sz w:val="22"/>
          <w:lang w:eastAsia="en-GB"/>
        </w:rPr>
      </w:pPr>
    </w:p>
    <w:p w:rsidR="00140799" w:rsidRPr="00140799" w:rsidRDefault="00140799" w:rsidP="00140799">
      <w:pPr>
        <w:tabs>
          <w:tab w:val="right" w:pos="10227"/>
        </w:tabs>
        <w:rPr>
          <w:rFonts w:ascii="Arial" w:hAnsi="Arial"/>
          <w:b/>
          <w:sz w:val="22"/>
        </w:rPr>
      </w:pPr>
      <w:r w:rsidRPr="00140799">
        <w:rPr>
          <w:rFonts w:ascii="Arial" w:hAnsi="Arial"/>
          <w:b/>
          <w:sz w:val="22"/>
        </w:rPr>
        <w:t>Independent Consultant</w:t>
      </w:r>
    </w:p>
    <w:p w:rsidR="00140799" w:rsidRPr="00140799" w:rsidRDefault="00140799" w:rsidP="00140799">
      <w:pPr>
        <w:tabs>
          <w:tab w:val="right" w:pos="10227"/>
        </w:tabs>
        <w:rPr>
          <w:rFonts w:ascii="Arial" w:hAnsi="Arial"/>
          <w:b/>
          <w:sz w:val="22"/>
        </w:rPr>
      </w:pPr>
      <w:r w:rsidRPr="00140799">
        <w:rPr>
          <w:rFonts w:ascii="Arial" w:hAnsi="Arial"/>
          <w:b/>
          <w:sz w:val="22"/>
        </w:rPr>
        <w:t>Arlington, VA</w:t>
      </w:r>
    </w:p>
    <w:p w:rsidR="00140799" w:rsidRPr="00140799" w:rsidRDefault="00140799" w:rsidP="00140799">
      <w:pPr>
        <w:tabs>
          <w:tab w:val="left" w:pos="6480"/>
          <w:tab w:val="right" w:pos="9360"/>
        </w:tabs>
        <w:ind w:right="1785"/>
        <w:rPr>
          <w:rFonts w:ascii="Arial" w:hAnsi="Arial"/>
          <w:sz w:val="22"/>
          <w:szCs w:val="20"/>
        </w:rPr>
      </w:pPr>
      <w:r w:rsidRPr="00140799">
        <w:rPr>
          <w:rFonts w:ascii="Arial" w:hAnsi="Arial"/>
          <w:sz w:val="22"/>
          <w:szCs w:val="20"/>
        </w:rPr>
        <w:t>Environmental Toxicologist</w:t>
      </w:r>
      <w:r w:rsidRPr="00140799">
        <w:rPr>
          <w:rFonts w:ascii="CG Times" w:hAnsi="CG Times"/>
          <w:b/>
          <w:sz w:val="22"/>
        </w:rPr>
        <w:tab/>
      </w:r>
      <w:r w:rsidRPr="00140799">
        <w:rPr>
          <w:rFonts w:ascii="CG Times" w:hAnsi="CG Times"/>
          <w:b/>
          <w:sz w:val="22"/>
        </w:rPr>
        <w:tab/>
      </w:r>
      <w:r w:rsidRPr="00140799">
        <w:rPr>
          <w:rFonts w:ascii="Arial" w:hAnsi="Arial"/>
          <w:sz w:val="22"/>
          <w:szCs w:val="20"/>
        </w:rPr>
        <w:t>1982 – 1983</w:t>
      </w:r>
    </w:p>
    <w:p w:rsidR="00140799" w:rsidRPr="00140799" w:rsidRDefault="00140799" w:rsidP="00140799">
      <w:pPr>
        <w:tabs>
          <w:tab w:val="right" w:pos="8460"/>
        </w:tabs>
        <w:ind w:right="1785"/>
        <w:rPr>
          <w:rFonts w:ascii="CG Times" w:hAnsi="CG Times"/>
          <w:sz w:val="22"/>
        </w:rPr>
      </w:pPr>
    </w:p>
    <w:p w:rsidR="00140799" w:rsidRPr="00140799" w:rsidRDefault="00140799" w:rsidP="00140799">
      <w:pPr>
        <w:tabs>
          <w:tab w:val="left" w:pos="1080"/>
        </w:tabs>
        <w:jc w:val="both"/>
        <w:rPr>
          <w:rFonts w:ascii="Arial" w:hAnsi="Arial"/>
          <w:spacing w:val="2"/>
          <w:sz w:val="22"/>
          <w:lang w:eastAsia="en-GB"/>
        </w:rPr>
      </w:pPr>
      <w:r w:rsidRPr="00140799">
        <w:rPr>
          <w:rFonts w:ascii="Arial" w:hAnsi="Arial"/>
          <w:spacing w:val="2"/>
          <w:sz w:val="22"/>
          <w:lang w:eastAsia="en-GB"/>
        </w:rPr>
        <w:t>Responsible for estimation of human exposures to chemicals associated with synthetic fuel plant operation.</w:t>
      </w:r>
    </w:p>
    <w:p w:rsidR="00140799" w:rsidRPr="00140799" w:rsidRDefault="00140799" w:rsidP="00140799">
      <w:pPr>
        <w:tabs>
          <w:tab w:val="left" w:pos="1080"/>
        </w:tabs>
        <w:rPr>
          <w:rFonts w:ascii="CG Times" w:hAnsi="CG Times"/>
          <w:sz w:val="22"/>
        </w:rPr>
      </w:pPr>
    </w:p>
    <w:p w:rsidR="00140799" w:rsidRPr="00140799" w:rsidRDefault="00140799" w:rsidP="00140799">
      <w:pPr>
        <w:tabs>
          <w:tab w:val="right" w:pos="10227"/>
        </w:tabs>
        <w:rPr>
          <w:rFonts w:ascii="Arial" w:hAnsi="Arial"/>
          <w:b/>
          <w:sz w:val="22"/>
        </w:rPr>
      </w:pPr>
      <w:r w:rsidRPr="00140799">
        <w:rPr>
          <w:rFonts w:ascii="Arial" w:hAnsi="Arial"/>
          <w:b/>
          <w:sz w:val="22"/>
        </w:rPr>
        <w:t>General Research Corporation</w:t>
      </w:r>
    </w:p>
    <w:p w:rsidR="00140799" w:rsidRPr="00140799" w:rsidRDefault="00140799" w:rsidP="00140799">
      <w:pPr>
        <w:tabs>
          <w:tab w:val="right" w:pos="10227"/>
        </w:tabs>
        <w:rPr>
          <w:rFonts w:ascii="Arial" w:hAnsi="Arial"/>
          <w:b/>
          <w:sz w:val="22"/>
        </w:rPr>
      </w:pPr>
      <w:r w:rsidRPr="00140799">
        <w:rPr>
          <w:rFonts w:ascii="Arial" w:hAnsi="Arial"/>
          <w:b/>
          <w:sz w:val="22"/>
        </w:rPr>
        <w:t>McLean, VA</w:t>
      </w:r>
    </w:p>
    <w:p w:rsidR="00140799" w:rsidRPr="00140799" w:rsidRDefault="00140799" w:rsidP="00140799">
      <w:pPr>
        <w:tabs>
          <w:tab w:val="left" w:pos="6480"/>
          <w:tab w:val="right" w:pos="9360"/>
        </w:tabs>
        <w:ind w:right="1875"/>
        <w:rPr>
          <w:rFonts w:ascii="Arial" w:hAnsi="Arial"/>
          <w:sz w:val="22"/>
          <w:szCs w:val="20"/>
        </w:rPr>
      </w:pPr>
      <w:r w:rsidRPr="00140799">
        <w:rPr>
          <w:rFonts w:ascii="Arial" w:hAnsi="Arial"/>
          <w:sz w:val="22"/>
          <w:szCs w:val="20"/>
        </w:rPr>
        <w:t>Environmental Toxicologist</w:t>
      </w:r>
      <w:r w:rsidRPr="00140799">
        <w:rPr>
          <w:rFonts w:ascii="CG Times" w:hAnsi="CG Times"/>
          <w:sz w:val="22"/>
        </w:rPr>
        <w:tab/>
      </w:r>
      <w:r w:rsidRPr="00140799">
        <w:rPr>
          <w:rFonts w:ascii="CG Times" w:hAnsi="CG Times"/>
          <w:sz w:val="22"/>
        </w:rPr>
        <w:tab/>
      </w:r>
      <w:r w:rsidRPr="00140799">
        <w:rPr>
          <w:rFonts w:ascii="Arial" w:hAnsi="Arial"/>
          <w:sz w:val="22"/>
          <w:szCs w:val="20"/>
        </w:rPr>
        <w:t>1981 – 1982</w:t>
      </w:r>
    </w:p>
    <w:p w:rsidR="00140799" w:rsidRPr="00140799" w:rsidRDefault="00140799" w:rsidP="00140799">
      <w:pPr>
        <w:tabs>
          <w:tab w:val="right" w:pos="8460"/>
        </w:tabs>
        <w:ind w:right="1875"/>
        <w:rPr>
          <w:rFonts w:ascii="CG Times" w:hAnsi="CG Times"/>
          <w:sz w:val="22"/>
        </w:rPr>
      </w:pPr>
    </w:p>
    <w:p w:rsidR="00140799" w:rsidRPr="00140799" w:rsidRDefault="00140799" w:rsidP="00140799">
      <w:pPr>
        <w:tabs>
          <w:tab w:val="left" w:pos="1080"/>
        </w:tabs>
        <w:jc w:val="both"/>
        <w:rPr>
          <w:rFonts w:ascii="Arial" w:hAnsi="Arial"/>
          <w:spacing w:val="2"/>
          <w:sz w:val="22"/>
          <w:lang w:eastAsia="en-GB"/>
        </w:rPr>
      </w:pPr>
      <w:r w:rsidRPr="00140799">
        <w:rPr>
          <w:rFonts w:ascii="Arial" w:hAnsi="Arial"/>
          <w:spacing w:val="2"/>
          <w:sz w:val="22"/>
          <w:lang w:eastAsia="en-GB"/>
        </w:rPr>
        <w:t>Responsible for estimation of human exposures to chemicals from synthetic fuel plant operation.</w:t>
      </w:r>
    </w:p>
    <w:p w:rsidR="00140799" w:rsidRPr="00140799" w:rsidRDefault="00140799" w:rsidP="00140799">
      <w:pPr>
        <w:tabs>
          <w:tab w:val="left" w:pos="1080"/>
        </w:tabs>
        <w:rPr>
          <w:rFonts w:ascii="CG Times" w:hAnsi="CG Times"/>
          <w:sz w:val="22"/>
        </w:rPr>
      </w:pPr>
    </w:p>
    <w:p w:rsidR="00140799" w:rsidRPr="00140799" w:rsidRDefault="00140799" w:rsidP="00140799">
      <w:pPr>
        <w:tabs>
          <w:tab w:val="right" w:pos="10227"/>
        </w:tabs>
        <w:rPr>
          <w:rFonts w:ascii="Arial" w:hAnsi="Arial"/>
          <w:b/>
          <w:sz w:val="22"/>
        </w:rPr>
      </w:pPr>
      <w:r w:rsidRPr="00140799">
        <w:rPr>
          <w:rFonts w:ascii="Arial" w:hAnsi="Arial"/>
          <w:b/>
          <w:sz w:val="22"/>
        </w:rPr>
        <w:t>Energy and Environmental Analysis, Inc.</w:t>
      </w:r>
    </w:p>
    <w:p w:rsidR="00140799" w:rsidRPr="00140799" w:rsidRDefault="00140799" w:rsidP="00140799">
      <w:pPr>
        <w:tabs>
          <w:tab w:val="right" w:pos="10227"/>
        </w:tabs>
        <w:rPr>
          <w:rFonts w:ascii="Arial" w:hAnsi="Arial"/>
          <w:b/>
          <w:sz w:val="22"/>
        </w:rPr>
      </w:pPr>
      <w:r w:rsidRPr="00140799">
        <w:rPr>
          <w:rFonts w:ascii="Arial" w:hAnsi="Arial"/>
          <w:b/>
          <w:sz w:val="22"/>
        </w:rPr>
        <w:t>Arlington, VA</w:t>
      </w:r>
    </w:p>
    <w:p w:rsidR="00140799" w:rsidRPr="00140799" w:rsidRDefault="00140799" w:rsidP="00140799">
      <w:pPr>
        <w:tabs>
          <w:tab w:val="left" w:pos="6480"/>
          <w:tab w:val="right" w:pos="9360"/>
        </w:tabs>
        <w:ind w:right="1875"/>
        <w:rPr>
          <w:rFonts w:ascii="Arial" w:hAnsi="Arial"/>
          <w:sz w:val="22"/>
          <w:szCs w:val="20"/>
        </w:rPr>
      </w:pPr>
      <w:r w:rsidRPr="00140799">
        <w:rPr>
          <w:rFonts w:ascii="Arial" w:hAnsi="Arial"/>
          <w:sz w:val="22"/>
          <w:szCs w:val="20"/>
        </w:rPr>
        <w:t>Environmental Toxicologist</w:t>
      </w:r>
      <w:r w:rsidRPr="00140799">
        <w:rPr>
          <w:rFonts w:ascii="CG Times" w:hAnsi="CG Times"/>
          <w:b/>
          <w:sz w:val="22"/>
        </w:rPr>
        <w:tab/>
      </w:r>
      <w:r w:rsidRPr="00140799">
        <w:rPr>
          <w:rFonts w:ascii="CG Times" w:hAnsi="CG Times"/>
          <w:b/>
          <w:sz w:val="22"/>
        </w:rPr>
        <w:tab/>
      </w:r>
      <w:r w:rsidRPr="00140799">
        <w:rPr>
          <w:rFonts w:ascii="Arial" w:hAnsi="Arial"/>
          <w:sz w:val="22"/>
          <w:szCs w:val="20"/>
        </w:rPr>
        <w:t>1979 – 1981</w:t>
      </w:r>
    </w:p>
    <w:p w:rsidR="00140799" w:rsidRPr="00140799" w:rsidRDefault="00140799" w:rsidP="00140799">
      <w:pPr>
        <w:tabs>
          <w:tab w:val="right" w:pos="8460"/>
        </w:tabs>
        <w:ind w:right="1875"/>
        <w:rPr>
          <w:rFonts w:ascii="CG Times" w:hAnsi="CG Times"/>
          <w:sz w:val="22"/>
        </w:rPr>
      </w:pPr>
    </w:p>
    <w:p w:rsidR="00140799" w:rsidRPr="00140799" w:rsidRDefault="00140799" w:rsidP="00140799">
      <w:pPr>
        <w:tabs>
          <w:tab w:val="left" w:pos="1080"/>
        </w:tabs>
        <w:jc w:val="both"/>
        <w:rPr>
          <w:rFonts w:ascii="Arial" w:hAnsi="Arial"/>
          <w:spacing w:val="2"/>
          <w:sz w:val="22"/>
          <w:lang w:eastAsia="en-GB"/>
        </w:rPr>
      </w:pPr>
      <w:r w:rsidRPr="00140799">
        <w:rPr>
          <w:rFonts w:ascii="Arial" w:hAnsi="Arial"/>
          <w:spacing w:val="2"/>
          <w:sz w:val="22"/>
          <w:lang w:eastAsia="en-GB"/>
        </w:rPr>
        <w:t>Responsible for providing the human exposure/risk assessment components of programmatic assessments for energy systems for the Department of Energy, including geothermal, synthetic fuels, Rankine cycle heat recovery systems, co-generation, and other systems.  Developed the human exposure and public health components of the NOx waiver submission for Daimler-Benz.</w:t>
      </w:r>
    </w:p>
    <w:p w:rsidR="00140799" w:rsidRPr="00140799" w:rsidRDefault="00140799" w:rsidP="00140799">
      <w:pPr>
        <w:tabs>
          <w:tab w:val="left" w:pos="1080"/>
        </w:tabs>
        <w:rPr>
          <w:rFonts w:ascii="CG Omega" w:hAnsi="CG Omega"/>
          <w:b/>
        </w:rPr>
      </w:pPr>
    </w:p>
    <w:p w:rsidR="00140799" w:rsidRPr="00140799" w:rsidRDefault="00140799" w:rsidP="00140799">
      <w:pPr>
        <w:tabs>
          <w:tab w:val="left" w:pos="1080"/>
        </w:tabs>
        <w:rPr>
          <w:rFonts w:ascii="CG Omega" w:hAnsi="CG Omega"/>
          <w:b/>
        </w:rPr>
      </w:pPr>
    </w:p>
    <w:p w:rsidR="00140799" w:rsidRPr="00140799" w:rsidRDefault="00140799" w:rsidP="00140799">
      <w:pPr>
        <w:tabs>
          <w:tab w:val="left" w:pos="1080"/>
        </w:tabs>
        <w:rPr>
          <w:b/>
          <w:sz w:val="22"/>
        </w:rPr>
      </w:pPr>
    </w:p>
    <w:p w:rsidR="00140799" w:rsidRPr="00140799" w:rsidRDefault="00140799" w:rsidP="00140799">
      <w:pPr>
        <w:rPr>
          <w:i/>
          <w:u w:val="single"/>
        </w:rPr>
      </w:pPr>
      <w:r w:rsidRPr="00140799">
        <w:rPr>
          <w:i/>
          <w:u w:val="single"/>
        </w:rPr>
        <w:br w:type="page"/>
      </w:r>
    </w:p>
    <w:p w:rsidR="00262EBE" w:rsidRPr="00140799" w:rsidRDefault="00262EBE" w:rsidP="00262EBE">
      <w:pPr>
        <w:jc w:val="both"/>
        <w:rPr>
          <w:rFonts w:ascii="Arial" w:hAnsi="Arial" w:cs="Arial"/>
          <w:b/>
          <w:caps/>
          <w:sz w:val="22"/>
          <w:szCs w:val="22"/>
          <w:u w:val="single"/>
        </w:rPr>
      </w:pPr>
      <w:r>
        <w:rPr>
          <w:rFonts w:ascii="Arial" w:hAnsi="Arial" w:cs="Arial"/>
          <w:b/>
          <w:caps/>
          <w:sz w:val="22"/>
          <w:szCs w:val="22"/>
          <w:u w:val="single"/>
        </w:rPr>
        <w:lastRenderedPageBreak/>
        <w:t xml:space="preserve">examples of </w:t>
      </w:r>
      <w:r w:rsidRPr="00140799">
        <w:rPr>
          <w:rFonts w:ascii="Arial" w:hAnsi="Arial" w:cs="Arial"/>
          <w:b/>
          <w:caps/>
          <w:sz w:val="22"/>
          <w:szCs w:val="22"/>
          <w:u w:val="single"/>
        </w:rPr>
        <w:t>Presentations and Testimony</w:t>
      </w:r>
    </w:p>
    <w:p w:rsidR="00262EBE" w:rsidRPr="00140799" w:rsidRDefault="00262EBE" w:rsidP="00262EBE">
      <w:pPr>
        <w:jc w:val="both"/>
        <w:rPr>
          <w:rFonts w:ascii="Arial" w:hAnsi="Arial" w:cs="Arial"/>
          <w:sz w:val="22"/>
          <w:szCs w:val="22"/>
        </w:rPr>
      </w:pPr>
    </w:p>
    <w:p w:rsidR="00262EBE" w:rsidRDefault="00262EBE" w:rsidP="00262EBE">
      <w:pPr>
        <w:rPr>
          <w:rFonts w:ascii="Arial" w:hAnsi="Arial" w:cs="Arial"/>
          <w:sz w:val="22"/>
          <w:szCs w:val="22"/>
        </w:rPr>
      </w:pPr>
      <w:r w:rsidRPr="0078680F">
        <w:rPr>
          <w:rFonts w:ascii="Arial" w:hAnsi="Arial" w:cs="Arial"/>
          <w:i/>
          <w:sz w:val="22"/>
          <w:szCs w:val="22"/>
        </w:rPr>
        <w:t>Michael A. Walsh, Frances A. Walsh, and Kelly A. Walsh v. Skyhawk Management Co., Inc., Paul Davis Restoration of Bucks and Montgomery Counties, and USAA Insurance</w:t>
      </w:r>
      <w:r>
        <w:rPr>
          <w:rFonts w:ascii="Arial" w:hAnsi="Arial" w:cs="Arial"/>
          <w:i/>
          <w:sz w:val="22"/>
          <w:szCs w:val="22"/>
        </w:rPr>
        <w:t xml:space="preserve">, </w:t>
      </w:r>
      <w:r w:rsidRPr="0078680F">
        <w:rPr>
          <w:rFonts w:ascii="Arial" w:hAnsi="Arial" w:cs="Arial"/>
          <w:sz w:val="22"/>
          <w:szCs w:val="22"/>
        </w:rPr>
        <w:t>Civil Action No. 2012-36-04683, Court of the Common Pleas, Bucks County, PA</w:t>
      </w:r>
      <w:r>
        <w:rPr>
          <w:rFonts w:ascii="Arial" w:hAnsi="Arial" w:cs="Arial"/>
          <w:sz w:val="22"/>
          <w:szCs w:val="22"/>
        </w:rPr>
        <w:t xml:space="preserve">. </w:t>
      </w:r>
    </w:p>
    <w:p w:rsidR="00262EBE" w:rsidRDefault="00262EBE" w:rsidP="00262EBE">
      <w:pPr>
        <w:rPr>
          <w:rFonts w:ascii="Arial" w:hAnsi="Arial" w:cs="Arial"/>
          <w:sz w:val="22"/>
          <w:szCs w:val="22"/>
        </w:rPr>
      </w:pPr>
      <w:r w:rsidRPr="0078680F">
        <w:rPr>
          <w:rFonts w:ascii="Arial" w:hAnsi="Arial" w:cs="Arial"/>
          <w:sz w:val="22"/>
          <w:szCs w:val="22"/>
        </w:rPr>
        <w:t>February 11, 2015 testimony at trial</w:t>
      </w:r>
      <w:r>
        <w:rPr>
          <w:rFonts w:ascii="Arial" w:hAnsi="Arial" w:cs="Arial"/>
          <w:sz w:val="22"/>
          <w:szCs w:val="22"/>
        </w:rPr>
        <w:t xml:space="preserve">.  </w:t>
      </w:r>
    </w:p>
    <w:p w:rsidR="00262EBE" w:rsidRDefault="00262EBE" w:rsidP="00262EBE">
      <w:pPr>
        <w:rPr>
          <w:rFonts w:ascii="Arial" w:hAnsi="Arial" w:cs="Arial"/>
          <w:sz w:val="22"/>
          <w:szCs w:val="22"/>
        </w:rPr>
      </w:pPr>
      <w:r w:rsidRPr="0078680F">
        <w:rPr>
          <w:rFonts w:ascii="Arial" w:hAnsi="Arial" w:cs="Arial"/>
          <w:sz w:val="22"/>
          <w:szCs w:val="22"/>
        </w:rPr>
        <w:t>Plaintiff – adverse health effects from chemicals used in mold remediation</w:t>
      </w:r>
    </w:p>
    <w:p w:rsidR="00EC0182" w:rsidRDefault="00EC0182" w:rsidP="00262EBE">
      <w:pPr>
        <w:rPr>
          <w:rFonts w:ascii="Arial" w:hAnsi="Arial" w:cs="Arial"/>
          <w:sz w:val="22"/>
          <w:szCs w:val="22"/>
        </w:rPr>
      </w:pPr>
    </w:p>
    <w:p w:rsidR="00EC0182" w:rsidRPr="00EC0182" w:rsidRDefault="00EC0182" w:rsidP="00EC0182">
      <w:pPr>
        <w:rPr>
          <w:rFonts w:ascii="Arial" w:hAnsi="Arial" w:cs="Arial"/>
          <w:i/>
          <w:sz w:val="22"/>
          <w:szCs w:val="22"/>
        </w:rPr>
      </w:pPr>
      <w:proofErr w:type="spellStart"/>
      <w:r w:rsidRPr="00EC0182">
        <w:rPr>
          <w:rFonts w:ascii="Arial" w:hAnsi="Arial" w:cs="Arial"/>
          <w:i/>
          <w:sz w:val="22"/>
          <w:szCs w:val="22"/>
        </w:rPr>
        <w:t>Fulks</w:t>
      </w:r>
      <w:proofErr w:type="spellEnd"/>
      <w:r w:rsidRPr="00EC0182">
        <w:rPr>
          <w:rFonts w:ascii="Arial" w:hAnsi="Arial" w:cs="Arial"/>
          <w:i/>
          <w:sz w:val="22"/>
          <w:szCs w:val="22"/>
        </w:rPr>
        <w:t xml:space="preserve"> v. Allstate Property and Casualty</w:t>
      </w:r>
    </w:p>
    <w:p w:rsidR="00EC0182" w:rsidRPr="00EC0182" w:rsidRDefault="00EC0182" w:rsidP="00EC0182">
      <w:pPr>
        <w:rPr>
          <w:rFonts w:ascii="Arial" w:hAnsi="Arial" w:cs="Arial"/>
          <w:sz w:val="22"/>
          <w:szCs w:val="22"/>
        </w:rPr>
      </w:pPr>
      <w:r w:rsidRPr="00EC0182">
        <w:rPr>
          <w:rFonts w:ascii="Arial" w:hAnsi="Arial" w:cs="Arial"/>
          <w:sz w:val="22"/>
          <w:szCs w:val="22"/>
        </w:rPr>
        <w:t>Civil Action Case No. 3:14-cv-29473, U.S. District Court of WV, Southern District (Huntington)</w:t>
      </w:r>
    </w:p>
    <w:p w:rsidR="00EC0182" w:rsidRPr="00EC0182" w:rsidRDefault="00EC0182" w:rsidP="00EC0182">
      <w:pPr>
        <w:rPr>
          <w:rFonts w:ascii="Arial" w:hAnsi="Arial" w:cs="Arial"/>
          <w:sz w:val="22"/>
          <w:szCs w:val="22"/>
        </w:rPr>
      </w:pPr>
      <w:r w:rsidRPr="00EC0182">
        <w:rPr>
          <w:rFonts w:ascii="Arial" w:hAnsi="Arial" w:cs="Arial"/>
          <w:sz w:val="22"/>
          <w:szCs w:val="22"/>
        </w:rPr>
        <w:t xml:space="preserve">December 1, 2015 </w:t>
      </w:r>
      <w:r w:rsidR="001905E5">
        <w:rPr>
          <w:rFonts w:ascii="Arial" w:hAnsi="Arial" w:cs="Arial"/>
          <w:sz w:val="22"/>
          <w:szCs w:val="22"/>
        </w:rPr>
        <w:t xml:space="preserve">testimony at </w:t>
      </w:r>
      <w:r w:rsidRPr="00EC0182">
        <w:rPr>
          <w:rFonts w:ascii="Arial" w:hAnsi="Arial" w:cs="Arial"/>
          <w:sz w:val="22"/>
          <w:szCs w:val="22"/>
        </w:rPr>
        <w:t>depositio</w:t>
      </w:r>
      <w:bookmarkStart w:id="0" w:name="_GoBack"/>
      <w:bookmarkEnd w:id="0"/>
      <w:r w:rsidRPr="00EC0182">
        <w:rPr>
          <w:rFonts w:ascii="Arial" w:hAnsi="Arial" w:cs="Arial"/>
          <w:sz w:val="22"/>
          <w:szCs w:val="22"/>
        </w:rPr>
        <w:t xml:space="preserve">n, Fairfax, Virginia </w:t>
      </w:r>
    </w:p>
    <w:p w:rsidR="00EC0182" w:rsidRPr="00EC0182" w:rsidRDefault="00EC0182" w:rsidP="00EC0182">
      <w:pPr>
        <w:rPr>
          <w:rFonts w:ascii="Arial" w:hAnsi="Arial" w:cs="Arial"/>
          <w:sz w:val="22"/>
          <w:szCs w:val="22"/>
        </w:rPr>
      </w:pPr>
      <w:r w:rsidRPr="00EC0182">
        <w:rPr>
          <w:rFonts w:ascii="Arial" w:hAnsi="Arial" w:cs="Arial"/>
          <w:sz w:val="22"/>
          <w:szCs w:val="22"/>
        </w:rPr>
        <w:t>Plaintiff – contamination of residence from chemicals applied for fire damage remediation</w:t>
      </w:r>
    </w:p>
    <w:p w:rsidR="00EC0182" w:rsidRDefault="00EC0182" w:rsidP="00262EBE">
      <w:pPr>
        <w:rPr>
          <w:rFonts w:ascii="Arial" w:hAnsi="Arial" w:cs="Arial"/>
          <w:sz w:val="22"/>
          <w:szCs w:val="22"/>
        </w:rPr>
      </w:pPr>
    </w:p>
    <w:p w:rsidR="00262EBE" w:rsidRDefault="00262EBE" w:rsidP="00262EBE">
      <w:pPr>
        <w:rPr>
          <w:rFonts w:ascii="Arial" w:hAnsi="Arial" w:cs="Arial"/>
          <w:sz w:val="22"/>
          <w:szCs w:val="22"/>
        </w:rPr>
      </w:pPr>
      <w:r w:rsidRPr="00D75287">
        <w:rPr>
          <w:rFonts w:ascii="Arial" w:hAnsi="Arial" w:cs="Arial"/>
          <w:sz w:val="22"/>
          <w:szCs w:val="22"/>
        </w:rPr>
        <w:t>Testimony (regarding the human health impacts of combustion emissions from vent-free gas fireplaces) before the International Fuel Gas Code (IFGC)</w:t>
      </w:r>
      <w:r>
        <w:rPr>
          <w:rFonts w:ascii="Arial" w:hAnsi="Arial" w:cs="Arial"/>
          <w:sz w:val="22"/>
          <w:szCs w:val="22"/>
        </w:rPr>
        <w:t xml:space="preserve"> Committee</w:t>
      </w:r>
      <w:r w:rsidRPr="00D75287">
        <w:rPr>
          <w:rFonts w:ascii="Arial" w:hAnsi="Arial" w:cs="Arial"/>
          <w:sz w:val="22"/>
          <w:szCs w:val="22"/>
        </w:rPr>
        <w:t>, International Code Council (ICC), Memphis, Tennessee, April 20, 2015, re: Code Change Proposal FG</w:t>
      </w:r>
      <w:r>
        <w:rPr>
          <w:rFonts w:ascii="Arial" w:hAnsi="Arial" w:cs="Arial"/>
          <w:sz w:val="22"/>
          <w:szCs w:val="22"/>
        </w:rPr>
        <w:t>-</w:t>
      </w:r>
      <w:r w:rsidRPr="00D75287">
        <w:rPr>
          <w:rFonts w:ascii="Arial" w:hAnsi="Arial" w:cs="Arial"/>
          <w:sz w:val="22"/>
          <w:szCs w:val="22"/>
        </w:rPr>
        <w:t>39.</w:t>
      </w:r>
    </w:p>
    <w:p w:rsidR="00262EBE" w:rsidRDefault="00262EBE" w:rsidP="00262EBE">
      <w:pPr>
        <w:rPr>
          <w:rFonts w:ascii="Arial" w:hAnsi="Arial" w:cs="Arial"/>
          <w:sz w:val="22"/>
          <w:szCs w:val="22"/>
        </w:rPr>
      </w:pPr>
    </w:p>
    <w:p w:rsidR="00262EBE" w:rsidRPr="00140799" w:rsidRDefault="00262EBE" w:rsidP="00262EBE">
      <w:pPr>
        <w:rPr>
          <w:rFonts w:ascii="Arial" w:hAnsi="Arial" w:cs="Arial"/>
          <w:sz w:val="22"/>
          <w:szCs w:val="22"/>
        </w:rPr>
      </w:pPr>
      <w:r w:rsidRPr="00140799">
        <w:rPr>
          <w:rFonts w:ascii="Arial" w:hAnsi="Arial" w:cs="Arial"/>
          <w:sz w:val="22"/>
          <w:szCs w:val="22"/>
        </w:rPr>
        <w:t xml:space="preserve">Presentation at 2014 ASHRAE Winter Conference workshop </w:t>
      </w:r>
      <w:r w:rsidRPr="00140799">
        <w:rPr>
          <w:rFonts w:ascii="Arial" w:hAnsi="Arial" w:cs="Arial"/>
          <w:i/>
          <w:sz w:val="22"/>
          <w:szCs w:val="22"/>
        </w:rPr>
        <w:t>Impact of vent-free gas heaters on IAQ from a toxicologist’s perspective</w:t>
      </w:r>
      <w:r w:rsidRPr="00140799">
        <w:rPr>
          <w:rFonts w:ascii="Arial" w:hAnsi="Arial" w:cs="Arial"/>
          <w:sz w:val="22"/>
          <w:szCs w:val="22"/>
        </w:rPr>
        <w:t>, Seminar 56, January 22, 2014</w:t>
      </w:r>
      <w:r>
        <w:rPr>
          <w:rFonts w:ascii="Arial" w:hAnsi="Arial" w:cs="Arial"/>
          <w:sz w:val="22"/>
          <w:szCs w:val="22"/>
        </w:rPr>
        <w:t>, New York, New York</w:t>
      </w:r>
      <w:r w:rsidRPr="00140799">
        <w:rPr>
          <w:rFonts w:ascii="Arial" w:hAnsi="Arial" w:cs="Arial"/>
          <w:sz w:val="22"/>
          <w:szCs w:val="22"/>
        </w:rPr>
        <w:t>.</w:t>
      </w:r>
    </w:p>
    <w:p w:rsidR="00262EBE" w:rsidRDefault="00262EBE" w:rsidP="00262EBE">
      <w:pPr>
        <w:rPr>
          <w:rFonts w:ascii="Arial" w:hAnsi="Arial" w:cs="Arial"/>
          <w:sz w:val="22"/>
          <w:szCs w:val="22"/>
        </w:rPr>
      </w:pPr>
    </w:p>
    <w:p w:rsidR="00262EBE" w:rsidRPr="00140799" w:rsidRDefault="00262EBE" w:rsidP="00262EBE">
      <w:pPr>
        <w:rPr>
          <w:rFonts w:ascii="Arial" w:hAnsi="Arial" w:cs="Arial"/>
          <w:sz w:val="22"/>
          <w:szCs w:val="22"/>
        </w:rPr>
      </w:pPr>
      <w:r w:rsidRPr="00140799">
        <w:rPr>
          <w:rFonts w:ascii="Arial" w:hAnsi="Arial" w:cs="Arial"/>
          <w:sz w:val="22"/>
          <w:szCs w:val="22"/>
        </w:rPr>
        <w:t xml:space="preserve">Presentation, entitled </w:t>
      </w:r>
      <w:r w:rsidRPr="00140799">
        <w:rPr>
          <w:rFonts w:ascii="Arial" w:hAnsi="Arial" w:cs="Arial"/>
          <w:i/>
          <w:sz w:val="22"/>
          <w:szCs w:val="22"/>
        </w:rPr>
        <w:t>California Safer Consumer Products Regulations.  Summary of webinar hosted by Chemical</w:t>
      </w:r>
      <w:r>
        <w:rPr>
          <w:rFonts w:ascii="Arial" w:hAnsi="Arial" w:cs="Arial"/>
          <w:i/>
          <w:sz w:val="22"/>
          <w:szCs w:val="22"/>
        </w:rPr>
        <w:t xml:space="preserve"> </w:t>
      </w:r>
      <w:r w:rsidRPr="00140799">
        <w:rPr>
          <w:rFonts w:ascii="Arial" w:hAnsi="Arial" w:cs="Arial"/>
          <w:i/>
          <w:sz w:val="22"/>
          <w:szCs w:val="22"/>
        </w:rPr>
        <w:t>Watch, October 16, 2013</w:t>
      </w:r>
      <w:r w:rsidRPr="00140799">
        <w:rPr>
          <w:rFonts w:ascii="Arial" w:hAnsi="Arial" w:cs="Arial"/>
          <w:sz w:val="22"/>
          <w:szCs w:val="22"/>
        </w:rPr>
        <w:t xml:space="preserve">, presented by Gary Whitmyre to </w:t>
      </w:r>
      <w:proofErr w:type="spellStart"/>
      <w:r w:rsidRPr="00140799">
        <w:rPr>
          <w:rFonts w:ascii="Arial" w:hAnsi="Arial" w:cs="Arial"/>
          <w:sz w:val="22"/>
          <w:szCs w:val="22"/>
        </w:rPr>
        <w:t>toXcel</w:t>
      </w:r>
      <w:proofErr w:type="spellEnd"/>
      <w:r w:rsidRPr="00140799">
        <w:rPr>
          <w:rFonts w:ascii="Arial" w:hAnsi="Arial" w:cs="Arial"/>
          <w:sz w:val="22"/>
          <w:szCs w:val="22"/>
        </w:rPr>
        <w:t>, Gainesville, Virginia, November 22, 2013.</w:t>
      </w:r>
    </w:p>
    <w:p w:rsidR="00262EBE" w:rsidRDefault="00262EBE" w:rsidP="00262EBE">
      <w:pPr>
        <w:rPr>
          <w:rFonts w:ascii="Arial" w:hAnsi="Arial" w:cs="Arial"/>
          <w:sz w:val="22"/>
          <w:szCs w:val="22"/>
        </w:rPr>
      </w:pPr>
    </w:p>
    <w:p w:rsidR="00262EBE" w:rsidRPr="00D75287" w:rsidRDefault="00262EBE" w:rsidP="00262EBE">
      <w:pPr>
        <w:rPr>
          <w:rFonts w:ascii="Arial" w:hAnsi="Arial" w:cs="Arial"/>
          <w:sz w:val="22"/>
          <w:szCs w:val="22"/>
        </w:rPr>
      </w:pPr>
      <w:r w:rsidRPr="00D75287">
        <w:rPr>
          <w:rFonts w:ascii="Arial" w:hAnsi="Arial" w:cs="Arial"/>
          <w:sz w:val="22"/>
          <w:szCs w:val="22"/>
        </w:rPr>
        <w:t>Testimony (regarding the human health impacts of combustion emissions from vent-free gas fireplaces) before the International Fuel Gas Code (IFGC)</w:t>
      </w:r>
      <w:r>
        <w:rPr>
          <w:rFonts w:ascii="Arial" w:hAnsi="Arial" w:cs="Arial"/>
          <w:sz w:val="22"/>
          <w:szCs w:val="22"/>
        </w:rPr>
        <w:t xml:space="preserve"> Committee</w:t>
      </w:r>
      <w:r w:rsidRPr="00D75287">
        <w:rPr>
          <w:rFonts w:ascii="Arial" w:hAnsi="Arial" w:cs="Arial"/>
          <w:sz w:val="22"/>
          <w:szCs w:val="22"/>
        </w:rPr>
        <w:t>, International Code Council (ICC), Portland, Oregon, October 22, 2012, re: Code Change Proposal FG</w:t>
      </w:r>
      <w:r>
        <w:rPr>
          <w:rFonts w:ascii="Arial" w:hAnsi="Arial" w:cs="Arial"/>
          <w:sz w:val="22"/>
          <w:szCs w:val="22"/>
        </w:rPr>
        <w:t>-</w:t>
      </w:r>
      <w:r w:rsidRPr="00D75287">
        <w:rPr>
          <w:rFonts w:ascii="Arial" w:hAnsi="Arial" w:cs="Arial"/>
          <w:sz w:val="22"/>
          <w:szCs w:val="22"/>
        </w:rPr>
        <w:t>36.</w:t>
      </w:r>
    </w:p>
    <w:p w:rsidR="00262EBE" w:rsidRDefault="00262EBE" w:rsidP="00262EBE">
      <w:pPr>
        <w:rPr>
          <w:rFonts w:ascii="Arial" w:hAnsi="Arial" w:cs="Arial"/>
          <w:sz w:val="22"/>
          <w:szCs w:val="22"/>
        </w:rPr>
      </w:pPr>
    </w:p>
    <w:p w:rsidR="00262EBE" w:rsidRDefault="00262EBE" w:rsidP="00262EBE">
      <w:pPr>
        <w:rPr>
          <w:rFonts w:ascii="Arial" w:hAnsi="Arial" w:cs="Arial"/>
          <w:sz w:val="22"/>
          <w:szCs w:val="22"/>
        </w:rPr>
      </w:pPr>
      <w:r w:rsidRPr="00140799">
        <w:rPr>
          <w:rFonts w:ascii="Arial" w:hAnsi="Arial" w:cs="Arial"/>
          <w:sz w:val="22"/>
          <w:szCs w:val="22"/>
        </w:rPr>
        <w:t xml:space="preserve">Presentation, entitled </w:t>
      </w:r>
      <w:r w:rsidRPr="00140799">
        <w:rPr>
          <w:rFonts w:ascii="Arial" w:hAnsi="Arial" w:cs="Arial"/>
          <w:i/>
          <w:sz w:val="22"/>
          <w:szCs w:val="22"/>
        </w:rPr>
        <w:t>California Proposition 65</w:t>
      </w:r>
      <w:r w:rsidRPr="00140799">
        <w:rPr>
          <w:rFonts w:ascii="Arial" w:hAnsi="Arial" w:cs="Arial"/>
          <w:sz w:val="22"/>
          <w:szCs w:val="22"/>
        </w:rPr>
        <w:t xml:space="preserve">, presented by Gary Whitmyre to Reckitt Benckiser, </w:t>
      </w:r>
      <w:r>
        <w:rPr>
          <w:rFonts w:ascii="Arial" w:hAnsi="Arial" w:cs="Arial"/>
          <w:sz w:val="22"/>
          <w:szCs w:val="22"/>
        </w:rPr>
        <w:t xml:space="preserve">Hull, </w:t>
      </w:r>
      <w:r w:rsidRPr="00140799">
        <w:rPr>
          <w:rFonts w:ascii="Arial" w:hAnsi="Arial" w:cs="Arial"/>
          <w:sz w:val="22"/>
          <w:szCs w:val="22"/>
        </w:rPr>
        <w:t>England, UK, February 22, 2012.</w:t>
      </w:r>
    </w:p>
    <w:p w:rsidR="00262EBE" w:rsidRPr="00140799" w:rsidRDefault="00262EBE" w:rsidP="00262EBE">
      <w:pPr>
        <w:rPr>
          <w:rFonts w:ascii="Arial" w:hAnsi="Arial" w:cs="Arial"/>
          <w:sz w:val="22"/>
          <w:szCs w:val="22"/>
        </w:rPr>
      </w:pPr>
    </w:p>
    <w:p w:rsidR="00262EBE" w:rsidRDefault="00262EBE" w:rsidP="00262EBE">
      <w:pPr>
        <w:rPr>
          <w:rFonts w:ascii="Arial" w:hAnsi="Arial" w:cs="Arial"/>
          <w:sz w:val="22"/>
          <w:szCs w:val="22"/>
        </w:rPr>
      </w:pPr>
      <w:r w:rsidRPr="00140799">
        <w:rPr>
          <w:rFonts w:ascii="Arial" w:hAnsi="Arial" w:cs="Arial"/>
          <w:sz w:val="22"/>
          <w:szCs w:val="22"/>
        </w:rPr>
        <w:t xml:space="preserve">Presentation, entitled </w:t>
      </w:r>
      <w:r w:rsidRPr="00140799">
        <w:rPr>
          <w:rFonts w:ascii="Arial" w:hAnsi="Arial" w:cs="Arial"/>
          <w:i/>
          <w:sz w:val="22"/>
          <w:szCs w:val="22"/>
        </w:rPr>
        <w:t>Role of the Toxicologist in Litigation Support</w:t>
      </w:r>
      <w:r w:rsidRPr="00140799">
        <w:rPr>
          <w:rFonts w:ascii="Arial" w:hAnsi="Arial" w:cs="Arial"/>
          <w:sz w:val="22"/>
          <w:szCs w:val="22"/>
        </w:rPr>
        <w:t>, presented by Gary Whitmyre to AIG, Jersey City, New Jersey, October 23, 2011.</w:t>
      </w:r>
    </w:p>
    <w:p w:rsidR="00262EBE" w:rsidRDefault="00262EBE" w:rsidP="00262EBE">
      <w:pPr>
        <w:rPr>
          <w:rFonts w:ascii="Arial" w:hAnsi="Arial" w:cs="Arial"/>
          <w:sz w:val="22"/>
          <w:szCs w:val="22"/>
        </w:rPr>
      </w:pPr>
    </w:p>
    <w:p w:rsidR="00262EBE" w:rsidRPr="00D75287" w:rsidRDefault="00262EBE" w:rsidP="00262EBE">
      <w:pPr>
        <w:rPr>
          <w:rFonts w:ascii="Arial" w:hAnsi="Arial" w:cs="Arial"/>
          <w:sz w:val="22"/>
          <w:szCs w:val="22"/>
        </w:rPr>
      </w:pPr>
      <w:r w:rsidRPr="00D75287">
        <w:rPr>
          <w:rFonts w:ascii="Arial" w:hAnsi="Arial" w:cs="Arial"/>
          <w:sz w:val="22"/>
          <w:szCs w:val="22"/>
        </w:rPr>
        <w:t>Testimony (regarding the human health impacts of combustion emissions from vent-free gas fireplaces) before the International Fuel Gas Code (IFGC)</w:t>
      </w:r>
      <w:r>
        <w:rPr>
          <w:rFonts w:ascii="Arial" w:hAnsi="Arial" w:cs="Arial"/>
          <w:sz w:val="22"/>
          <w:szCs w:val="22"/>
        </w:rPr>
        <w:t xml:space="preserve"> Committee</w:t>
      </w:r>
      <w:r w:rsidRPr="00D75287">
        <w:rPr>
          <w:rFonts w:ascii="Arial" w:hAnsi="Arial" w:cs="Arial"/>
          <w:sz w:val="22"/>
          <w:szCs w:val="22"/>
        </w:rPr>
        <w:t>, International Code Council (ICC), Minneapolis, Minnesota, September 23, 2008, re: Code Change Proposal FG</w:t>
      </w:r>
      <w:r>
        <w:rPr>
          <w:rFonts w:ascii="Arial" w:hAnsi="Arial" w:cs="Arial"/>
          <w:sz w:val="22"/>
          <w:szCs w:val="22"/>
        </w:rPr>
        <w:t>-</w:t>
      </w:r>
      <w:r w:rsidRPr="00D75287">
        <w:rPr>
          <w:rFonts w:ascii="Arial" w:hAnsi="Arial" w:cs="Arial"/>
          <w:sz w:val="22"/>
          <w:szCs w:val="22"/>
        </w:rPr>
        <w:t>47.</w:t>
      </w:r>
    </w:p>
    <w:p w:rsidR="00262EBE" w:rsidRDefault="00262EBE" w:rsidP="00262EBE">
      <w:pPr>
        <w:rPr>
          <w:rFonts w:ascii="Arial" w:hAnsi="Arial" w:cs="Arial"/>
          <w:sz w:val="22"/>
          <w:szCs w:val="22"/>
        </w:rPr>
      </w:pPr>
    </w:p>
    <w:p w:rsidR="00262EBE" w:rsidRPr="00140799" w:rsidRDefault="00262EBE" w:rsidP="00262EBE">
      <w:pPr>
        <w:rPr>
          <w:rFonts w:ascii="Arial" w:hAnsi="Arial" w:cs="Arial"/>
          <w:sz w:val="22"/>
          <w:szCs w:val="22"/>
        </w:rPr>
      </w:pPr>
      <w:r w:rsidRPr="00140799">
        <w:rPr>
          <w:rFonts w:ascii="Arial" w:hAnsi="Arial" w:cs="Arial"/>
          <w:sz w:val="22"/>
          <w:szCs w:val="22"/>
        </w:rPr>
        <w:t>Presentation at 20</w:t>
      </w:r>
      <w:r>
        <w:rPr>
          <w:rFonts w:ascii="Arial" w:hAnsi="Arial" w:cs="Arial"/>
          <w:sz w:val="22"/>
          <w:szCs w:val="22"/>
        </w:rPr>
        <w:t>08</w:t>
      </w:r>
      <w:r w:rsidRPr="00140799">
        <w:rPr>
          <w:rFonts w:ascii="Arial" w:hAnsi="Arial" w:cs="Arial"/>
          <w:sz w:val="22"/>
          <w:szCs w:val="22"/>
        </w:rPr>
        <w:t xml:space="preserve"> ASHRAE Winter Conference workshop </w:t>
      </w:r>
      <w:r>
        <w:rPr>
          <w:rFonts w:ascii="Arial" w:hAnsi="Arial" w:cs="Arial"/>
          <w:i/>
          <w:sz w:val="22"/>
          <w:szCs w:val="22"/>
        </w:rPr>
        <w:t>Vent-Free is Green: A look at IAQ – Relative Humidity</w:t>
      </w:r>
      <w:r w:rsidRPr="00140799">
        <w:rPr>
          <w:rFonts w:ascii="Arial" w:hAnsi="Arial" w:cs="Arial"/>
          <w:sz w:val="22"/>
          <w:szCs w:val="22"/>
        </w:rPr>
        <w:t xml:space="preserve">, January </w:t>
      </w:r>
      <w:r>
        <w:rPr>
          <w:rFonts w:ascii="Arial" w:hAnsi="Arial" w:cs="Arial"/>
          <w:sz w:val="22"/>
          <w:szCs w:val="22"/>
        </w:rPr>
        <w:t>16</w:t>
      </w:r>
      <w:r w:rsidRPr="00140799">
        <w:rPr>
          <w:rFonts w:ascii="Arial" w:hAnsi="Arial" w:cs="Arial"/>
          <w:sz w:val="22"/>
          <w:szCs w:val="22"/>
        </w:rPr>
        <w:t>, 20</w:t>
      </w:r>
      <w:r>
        <w:rPr>
          <w:rFonts w:ascii="Arial" w:hAnsi="Arial" w:cs="Arial"/>
          <w:sz w:val="22"/>
          <w:szCs w:val="22"/>
        </w:rPr>
        <w:t>08</w:t>
      </w:r>
      <w:r w:rsidRPr="00140799">
        <w:rPr>
          <w:rFonts w:ascii="Arial" w:hAnsi="Arial" w:cs="Arial"/>
          <w:sz w:val="22"/>
          <w:szCs w:val="22"/>
        </w:rPr>
        <w:t>.</w:t>
      </w:r>
    </w:p>
    <w:p w:rsidR="00140799" w:rsidRDefault="00140799" w:rsidP="00140799">
      <w:pPr>
        <w:tabs>
          <w:tab w:val="left" w:pos="1080"/>
        </w:tabs>
        <w:rPr>
          <w:b/>
          <w:sz w:val="22"/>
        </w:rPr>
      </w:pPr>
    </w:p>
    <w:p w:rsidR="00140799" w:rsidRPr="00140799" w:rsidRDefault="00140799" w:rsidP="00140799">
      <w:pPr>
        <w:tabs>
          <w:tab w:val="left" w:pos="1080"/>
        </w:tabs>
        <w:rPr>
          <w:b/>
          <w:sz w:val="22"/>
        </w:rPr>
      </w:pPr>
    </w:p>
    <w:p w:rsidR="00140799" w:rsidRPr="00140799" w:rsidRDefault="00140799" w:rsidP="00140799">
      <w:pPr>
        <w:tabs>
          <w:tab w:val="left" w:pos="-720"/>
        </w:tabs>
        <w:rPr>
          <w:rFonts w:ascii="Arial" w:hAnsi="Arial"/>
          <w:b/>
          <w:sz w:val="22"/>
          <w:u w:val="single"/>
        </w:rPr>
      </w:pPr>
      <w:r w:rsidRPr="00140799">
        <w:rPr>
          <w:rFonts w:ascii="Arial" w:hAnsi="Arial"/>
          <w:b/>
          <w:sz w:val="22"/>
          <w:u w:val="single"/>
        </w:rPr>
        <w:t>PUBLICATIONS</w:t>
      </w:r>
    </w:p>
    <w:p w:rsidR="00140799" w:rsidRPr="00140799" w:rsidRDefault="00140799" w:rsidP="00140799">
      <w:pPr>
        <w:tabs>
          <w:tab w:val="left" w:pos="1080"/>
        </w:tabs>
      </w:pPr>
    </w:p>
    <w:p w:rsidR="00140799" w:rsidRPr="00140799" w:rsidRDefault="00140799" w:rsidP="00140799">
      <w:pPr>
        <w:tabs>
          <w:tab w:val="left" w:pos="0"/>
        </w:tabs>
        <w:jc w:val="both"/>
        <w:rPr>
          <w:rFonts w:ascii="Arial" w:hAnsi="Arial" w:cs="Arial"/>
          <w:sz w:val="22"/>
          <w:szCs w:val="22"/>
        </w:rPr>
      </w:pPr>
      <w:r w:rsidRPr="00140799">
        <w:rPr>
          <w:rFonts w:ascii="Arial" w:hAnsi="Arial" w:cs="Arial"/>
          <w:sz w:val="22"/>
          <w:szCs w:val="22"/>
        </w:rPr>
        <w:t xml:space="preserve">G. Whitmyre and S. </w:t>
      </w:r>
      <w:proofErr w:type="spellStart"/>
      <w:r w:rsidRPr="00140799">
        <w:rPr>
          <w:rFonts w:ascii="Arial" w:hAnsi="Arial" w:cs="Arial"/>
          <w:sz w:val="22"/>
          <w:szCs w:val="22"/>
        </w:rPr>
        <w:t>Kacew</w:t>
      </w:r>
      <w:proofErr w:type="spellEnd"/>
      <w:r w:rsidRPr="00140799">
        <w:rPr>
          <w:rFonts w:ascii="Arial" w:hAnsi="Arial" w:cs="Arial"/>
          <w:sz w:val="22"/>
          <w:szCs w:val="22"/>
        </w:rPr>
        <w:t xml:space="preserve">.  2005.  </w:t>
      </w:r>
      <w:r w:rsidRPr="00140799">
        <w:rPr>
          <w:rFonts w:ascii="Arial" w:hAnsi="Arial" w:cs="Arial"/>
          <w:i/>
          <w:sz w:val="22"/>
          <w:szCs w:val="22"/>
        </w:rPr>
        <w:t xml:space="preserve">Exposure. </w:t>
      </w:r>
      <w:r w:rsidRPr="00140799">
        <w:rPr>
          <w:rFonts w:ascii="Arial" w:hAnsi="Arial" w:cs="Arial"/>
          <w:sz w:val="22"/>
          <w:szCs w:val="22"/>
        </w:rPr>
        <w:t xml:space="preserve"> IN:  P. Wexler (ed.) </w:t>
      </w:r>
      <w:r w:rsidRPr="00140799">
        <w:rPr>
          <w:rFonts w:ascii="Arial" w:hAnsi="Arial" w:cs="Arial"/>
          <w:i/>
          <w:sz w:val="22"/>
          <w:szCs w:val="22"/>
        </w:rPr>
        <w:t>Encyclopedia of Toxicology,</w:t>
      </w:r>
      <w:r w:rsidRPr="00140799">
        <w:rPr>
          <w:rFonts w:ascii="Arial" w:hAnsi="Arial" w:cs="Arial"/>
          <w:sz w:val="22"/>
          <w:szCs w:val="22"/>
        </w:rPr>
        <w:t xml:space="preserve"> Second Edition, </w:t>
      </w:r>
      <w:r w:rsidR="00EA75CE" w:rsidRPr="00140799">
        <w:rPr>
          <w:rFonts w:ascii="Arial" w:hAnsi="Arial" w:cs="Arial"/>
          <w:sz w:val="22"/>
          <w:szCs w:val="22"/>
        </w:rPr>
        <w:t>Elsevier</w:t>
      </w:r>
      <w:r w:rsidRPr="00140799">
        <w:rPr>
          <w:rFonts w:ascii="Arial" w:hAnsi="Arial" w:cs="Arial"/>
          <w:sz w:val="22"/>
          <w:szCs w:val="22"/>
        </w:rPr>
        <w:t xml:space="preserve"> Publishers, Oxford, England, pp. 300-302.</w:t>
      </w:r>
    </w:p>
    <w:p w:rsidR="00140799" w:rsidRPr="00140799" w:rsidRDefault="00140799" w:rsidP="00140799">
      <w:pPr>
        <w:tabs>
          <w:tab w:val="left" w:pos="0"/>
        </w:tabs>
        <w:jc w:val="both"/>
        <w:rPr>
          <w:rFonts w:ascii="Arial" w:hAnsi="Arial" w:cs="Arial"/>
          <w:sz w:val="22"/>
          <w:szCs w:val="22"/>
        </w:rPr>
      </w:pPr>
    </w:p>
    <w:p w:rsidR="00140799" w:rsidRPr="00140799" w:rsidRDefault="00140799" w:rsidP="00140799">
      <w:pPr>
        <w:tabs>
          <w:tab w:val="left" w:pos="0"/>
        </w:tabs>
        <w:jc w:val="both"/>
        <w:rPr>
          <w:rFonts w:ascii="Arial" w:hAnsi="Arial" w:cs="Arial"/>
          <w:sz w:val="22"/>
          <w:szCs w:val="22"/>
        </w:rPr>
      </w:pPr>
      <w:r w:rsidRPr="00140799">
        <w:rPr>
          <w:rFonts w:ascii="Arial" w:hAnsi="Arial" w:cs="Arial"/>
          <w:sz w:val="22"/>
          <w:szCs w:val="22"/>
        </w:rPr>
        <w:t xml:space="preserve">G. Whitmyre and J.H. Driver.  2005.  </w:t>
      </w:r>
      <w:r w:rsidRPr="00140799">
        <w:rPr>
          <w:rFonts w:ascii="Arial" w:hAnsi="Arial" w:cs="Arial"/>
          <w:i/>
          <w:sz w:val="22"/>
          <w:szCs w:val="22"/>
        </w:rPr>
        <w:t xml:space="preserve">Exposure Assessment. </w:t>
      </w:r>
      <w:r w:rsidRPr="00140799">
        <w:rPr>
          <w:rFonts w:ascii="Arial" w:hAnsi="Arial" w:cs="Arial"/>
          <w:sz w:val="22"/>
          <w:szCs w:val="22"/>
        </w:rPr>
        <w:t xml:space="preserve"> IN:  P. Wexler (ed.) </w:t>
      </w:r>
      <w:r w:rsidRPr="00140799">
        <w:rPr>
          <w:rFonts w:ascii="Arial" w:hAnsi="Arial" w:cs="Arial"/>
          <w:i/>
          <w:sz w:val="22"/>
          <w:szCs w:val="22"/>
        </w:rPr>
        <w:t>Encyclopedia of Toxicology,</w:t>
      </w:r>
      <w:r w:rsidRPr="00140799">
        <w:rPr>
          <w:rFonts w:ascii="Arial" w:hAnsi="Arial" w:cs="Arial"/>
          <w:sz w:val="22"/>
          <w:szCs w:val="22"/>
        </w:rPr>
        <w:t xml:space="preserve"> Second Edition, </w:t>
      </w:r>
      <w:r w:rsidR="00EA75CE" w:rsidRPr="00140799">
        <w:rPr>
          <w:rFonts w:ascii="Arial" w:hAnsi="Arial" w:cs="Arial"/>
          <w:sz w:val="22"/>
          <w:szCs w:val="22"/>
        </w:rPr>
        <w:t>Elsevier</w:t>
      </w:r>
      <w:r w:rsidRPr="00140799">
        <w:rPr>
          <w:rFonts w:ascii="Arial" w:hAnsi="Arial" w:cs="Arial"/>
          <w:sz w:val="22"/>
          <w:szCs w:val="22"/>
        </w:rPr>
        <w:t xml:space="preserve"> Publishers, Oxford, England, pp. 303-305.</w:t>
      </w:r>
    </w:p>
    <w:p w:rsidR="00140799" w:rsidRPr="00140799" w:rsidRDefault="00140799" w:rsidP="00140799">
      <w:pPr>
        <w:tabs>
          <w:tab w:val="left" w:pos="0"/>
        </w:tabs>
        <w:jc w:val="both"/>
        <w:rPr>
          <w:rFonts w:ascii="Arial" w:hAnsi="Arial" w:cs="Arial"/>
          <w:sz w:val="22"/>
          <w:szCs w:val="22"/>
        </w:rPr>
      </w:pPr>
    </w:p>
    <w:p w:rsidR="00140799" w:rsidRPr="00140799" w:rsidRDefault="00140799" w:rsidP="00140799">
      <w:pPr>
        <w:tabs>
          <w:tab w:val="left" w:pos="0"/>
        </w:tabs>
        <w:jc w:val="both"/>
        <w:rPr>
          <w:rFonts w:ascii="Arial" w:hAnsi="Arial" w:cs="Arial"/>
          <w:sz w:val="22"/>
          <w:szCs w:val="22"/>
        </w:rPr>
      </w:pPr>
      <w:r w:rsidRPr="00140799">
        <w:rPr>
          <w:rFonts w:ascii="Arial" w:hAnsi="Arial" w:cs="Arial"/>
          <w:sz w:val="22"/>
          <w:szCs w:val="22"/>
        </w:rPr>
        <w:t xml:space="preserve">G.K. Whitmyre, J.H. Ross, M.E. Ginevan, and D. </w:t>
      </w:r>
      <w:proofErr w:type="spellStart"/>
      <w:r w:rsidRPr="00140799">
        <w:rPr>
          <w:rFonts w:ascii="Arial" w:hAnsi="Arial" w:cs="Arial"/>
          <w:sz w:val="22"/>
          <w:szCs w:val="22"/>
        </w:rPr>
        <w:t>Eberhart</w:t>
      </w:r>
      <w:proofErr w:type="spellEnd"/>
      <w:r w:rsidRPr="00140799">
        <w:rPr>
          <w:rFonts w:ascii="Arial" w:hAnsi="Arial" w:cs="Arial"/>
          <w:sz w:val="22"/>
          <w:szCs w:val="22"/>
        </w:rPr>
        <w:t xml:space="preserve">.  2005.  </w:t>
      </w:r>
      <w:r w:rsidRPr="00140799">
        <w:rPr>
          <w:rFonts w:ascii="Arial" w:hAnsi="Arial" w:cs="Arial"/>
          <w:i/>
          <w:sz w:val="22"/>
          <w:szCs w:val="22"/>
        </w:rPr>
        <w:t>Chapter 2.  Development of Risk-Based Restricted Entry Intervals.</w:t>
      </w:r>
      <w:r w:rsidRPr="00140799">
        <w:rPr>
          <w:rFonts w:ascii="Arial" w:hAnsi="Arial" w:cs="Arial"/>
          <w:sz w:val="22"/>
          <w:szCs w:val="22"/>
        </w:rPr>
        <w:t xml:space="preserve">  </w:t>
      </w:r>
      <w:r w:rsidRPr="00140799">
        <w:rPr>
          <w:rFonts w:ascii="Arial" w:hAnsi="Arial" w:cs="Arial"/>
          <w:sz w:val="22"/>
          <w:szCs w:val="22"/>
          <w:u w:val="single"/>
        </w:rPr>
        <w:t>IN</w:t>
      </w:r>
      <w:r w:rsidRPr="00140799">
        <w:rPr>
          <w:rFonts w:ascii="Arial" w:hAnsi="Arial" w:cs="Arial"/>
          <w:sz w:val="22"/>
          <w:szCs w:val="22"/>
        </w:rPr>
        <w:t xml:space="preserve">: C.A. Franklin and J.P. </w:t>
      </w:r>
      <w:proofErr w:type="spellStart"/>
      <w:r w:rsidRPr="00140799">
        <w:rPr>
          <w:rFonts w:ascii="Arial" w:hAnsi="Arial" w:cs="Arial"/>
          <w:sz w:val="22"/>
          <w:szCs w:val="22"/>
        </w:rPr>
        <w:t>Worgan</w:t>
      </w:r>
      <w:proofErr w:type="spellEnd"/>
      <w:r w:rsidRPr="00140799">
        <w:rPr>
          <w:rFonts w:ascii="Arial" w:hAnsi="Arial" w:cs="Arial"/>
          <w:sz w:val="22"/>
          <w:szCs w:val="22"/>
        </w:rPr>
        <w:t xml:space="preserve"> </w:t>
      </w:r>
      <w:r w:rsidRPr="00140799">
        <w:rPr>
          <w:rFonts w:ascii="Arial" w:hAnsi="Arial" w:cs="Arial"/>
          <w:i/>
          <w:sz w:val="22"/>
          <w:szCs w:val="22"/>
        </w:rPr>
        <w:t>et al.</w:t>
      </w:r>
      <w:r w:rsidRPr="00140799">
        <w:rPr>
          <w:rFonts w:ascii="Arial" w:hAnsi="Arial" w:cs="Arial"/>
          <w:sz w:val="22"/>
          <w:szCs w:val="22"/>
        </w:rPr>
        <w:t xml:space="preserve"> (Eds.), Occupational and Residential Exposure Assessment.  John Wiley &amp; Sons, New York, New York, pp 45-69.  </w:t>
      </w:r>
    </w:p>
    <w:p w:rsidR="00140799" w:rsidRPr="00140799" w:rsidRDefault="00140799" w:rsidP="00140799">
      <w:pPr>
        <w:tabs>
          <w:tab w:val="left" w:pos="0"/>
        </w:tabs>
        <w:jc w:val="both"/>
        <w:rPr>
          <w:rFonts w:ascii="Arial" w:hAnsi="Arial" w:cs="Arial"/>
          <w:sz w:val="22"/>
          <w:szCs w:val="22"/>
        </w:rPr>
      </w:pPr>
      <w:r w:rsidRPr="00140799">
        <w:rPr>
          <w:rFonts w:ascii="Arial" w:hAnsi="Arial" w:cs="Arial"/>
          <w:sz w:val="22"/>
          <w:szCs w:val="22"/>
        </w:rPr>
        <w:lastRenderedPageBreak/>
        <w:t xml:space="preserve">G.K. Whitmyre and M.D. Pandian.  2004.  </w:t>
      </w:r>
      <w:r w:rsidRPr="00140799">
        <w:rPr>
          <w:rFonts w:ascii="Arial" w:hAnsi="Arial" w:cs="Arial"/>
          <w:i/>
          <w:sz w:val="22"/>
          <w:szCs w:val="22"/>
        </w:rPr>
        <w:t>Probabilistic Assessment of the Potential Impacts of Vent-Free Gas Products on Indoor Relative Humidity</w:t>
      </w:r>
      <w:r w:rsidRPr="00140799">
        <w:rPr>
          <w:rFonts w:ascii="Arial" w:hAnsi="Arial" w:cs="Arial"/>
          <w:sz w:val="22"/>
          <w:szCs w:val="22"/>
        </w:rPr>
        <w:t>.   Building and Environment 39: 1179-1185.</w:t>
      </w:r>
    </w:p>
    <w:p w:rsidR="00140799" w:rsidRPr="00140799" w:rsidRDefault="00140799" w:rsidP="00140799">
      <w:pPr>
        <w:tabs>
          <w:tab w:val="left" w:pos="0"/>
        </w:tabs>
        <w:jc w:val="both"/>
        <w:rPr>
          <w:rFonts w:ascii="Arial" w:hAnsi="Arial" w:cs="Arial"/>
          <w:sz w:val="22"/>
          <w:szCs w:val="22"/>
        </w:rPr>
      </w:pPr>
    </w:p>
    <w:p w:rsidR="00140799" w:rsidRPr="00140799" w:rsidRDefault="00140799" w:rsidP="00140799">
      <w:pPr>
        <w:tabs>
          <w:tab w:val="left" w:pos="0"/>
        </w:tabs>
        <w:jc w:val="both"/>
        <w:rPr>
          <w:rFonts w:ascii="Arial" w:hAnsi="Arial" w:cs="Arial"/>
          <w:sz w:val="22"/>
          <w:szCs w:val="22"/>
        </w:rPr>
      </w:pPr>
      <w:r w:rsidRPr="00140799">
        <w:rPr>
          <w:rFonts w:ascii="Arial" w:hAnsi="Arial" w:cs="Arial"/>
          <w:sz w:val="22"/>
          <w:szCs w:val="22"/>
        </w:rPr>
        <w:t xml:space="preserve">G.K. Whitmyre, J.H. Ross, C. </w:t>
      </w:r>
      <w:proofErr w:type="spellStart"/>
      <w:r w:rsidRPr="00140799">
        <w:rPr>
          <w:rFonts w:ascii="Arial" w:hAnsi="Arial" w:cs="Arial"/>
          <w:sz w:val="22"/>
          <w:szCs w:val="22"/>
        </w:rPr>
        <w:t>Lunchick</w:t>
      </w:r>
      <w:proofErr w:type="spellEnd"/>
      <w:r w:rsidRPr="00140799">
        <w:rPr>
          <w:rFonts w:ascii="Arial" w:hAnsi="Arial" w:cs="Arial"/>
          <w:sz w:val="22"/>
          <w:szCs w:val="22"/>
        </w:rPr>
        <w:t xml:space="preserve">, B. </w:t>
      </w:r>
      <w:proofErr w:type="spellStart"/>
      <w:r w:rsidRPr="00140799">
        <w:rPr>
          <w:rFonts w:ascii="Arial" w:hAnsi="Arial" w:cs="Arial"/>
          <w:sz w:val="22"/>
          <w:szCs w:val="22"/>
        </w:rPr>
        <w:t>Volger</w:t>
      </w:r>
      <w:proofErr w:type="spellEnd"/>
      <w:r w:rsidRPr="00140799">
        <w:rPr>
          <w:rFonts w:ascii="Arial" w:hAnsi="Arial" w:cs="Arial"/>
          <w:sz w:val="22"/>
          <w:szCs w:val="22"/>
        </w:rPr>
        <w:t xml:space="preserve">, and S. Singer.  2004.  </w:t>
      </w:r>
      <w:r w:rsidRPr="00140799">
        <w:rPr>
          <w:rFonts w:ascii="Arial" w:hAnsi="Arial" w:cs="Arial"/>
          <w:i/>
          <w:sz w:val="22"/>
          <w:szCs w:val="22"/>
        </w:rPr>
        <w:t xml:space="preserve">Biphasic Dissipation Kinetics for </w:t>
      </w:r>
      <w:proofErr w:type="spellStart"/>
      <w:r w:rsidRPr="00140799">
        <w:rPr>
          <w:rFonts w:ascii="Arial" w:hAnsi="Arial" w:cs="Arial"/>
          <w:i/>
          <w:sz w:val="22"/>
          <w:szCs w:val="22"/>
        </w:rPr>
        <w:t>Dislodgeable</w:t>
      </w:r>
      <w:proofErr w:type="spellEnd"/>
      <w:r w:rsidRPr="00140799">
        <w:rPr>
          <w:rFonts w:ascii="Arial" w:hAnsi="Arial" w:cs="Arial"/>
          <w:i/>
          <w:sz w:val="22"/>
          <w:szCs w:val="22"/>
        </w:rPr>
        <w:t xml:space="preserve"> Foliar Residues in Estimating Post-application Occupational Exposures to </w:t>
      </w:r>
      <w:proofErr w:type="spellStart"/>
      <w:r w:rsidRPr="00140799">
        <w:rPr>
          <w:rFonts w:ascii="Arial" w:hAnsi="Arial" w:cs="Arial"/>
          <w:i/>
          <w:sz w:val="22"/>
          <w:szCs w:val="22"/>
        </w:rPr>
        <w:t>Endosulfan</w:t>
      </w:r>
      <w:proofErr w:type="spellEnd"/>
      <w:r w:rsidRPr="00140799">
        <w:rPr>
          <w:rFonts w:ascii="Arial" w:hAnsi="Arial" w:cs="Arial"/>
          <w:sz w:val="22"/>
          <w:szCs w:val="22"/>
        </w:rPr>
        <w:t>. Archives of Environmental Contamination and Toxicology 46 (1): 17-23.  Springer-</w:t>
      </w:r>
      <w:proofErr w:type="spellStart"/>
      <w:r w:rsidRPr="00140799">
        <w:rPr>
          <w:rFonts w:ascii="Arial" w:hAnsi="Arial" w:cs="Arial"/>
          <w:sz w:val="22"/>
          <w:szCs w:val="22"/>
        </w:rPr>
        <w:t>Verlag</w:t>
      </w:r>
      <w:proofErr w:type="spellEnd"/>
      <w:r w:rsidRPr="00140799">
        <w:rPr>
          <w:rFonts w:ascii="Arial" w:hAnsi="Arial" w:cs="Arial"/>
          <w:sz w:val="22"/>
          <w:szCs w:val="22"/>
        </w:rPr>
        <w:t>, New York, New York.</w:t>
      </w:r>
    </w:p>
    <w:p w:rsidR="00140799" w:rsidRPr="00140799" w:rsidRDefault="00140799" w:rsidP="00140799">
      <w:pPr>
        <w:tabs>
          <w:tab w:val="left" w:pos="0"/>
        </w:tabs>
        <w:jc w:val="both"/>
        <w:rPr>
          <w:rFonts w:ascii="Arial" w:hAnsi="Arial" w:cs="Arial"/>
          <w:sz w:val="22"/>
          <w:szCs w:val="22"/>
        </w:rPr>
      </w:pPr>
    </w:p>
    <w:p w:rsidR="00140799" w:rsidRPr="00140799" w:rsidRDefault="00140799" w:rsidP="00140799">
      <w:pPr>
        <w:tabs>
          <w:tab w:val="left" w:pos="0"/>
        </w:tabs>
        <w:jc w:val="both"/>
        <w:rPr>
          <w:rFonts w:ascii="Arial" w:hAnsi="Arial" w:cs="Arial"/>
          <w:sz w:val="22"/>
          <w:szCs w:val="22"/>
        </w:rPr>
      </w:pPr>
      <w:r w:rsidRPr="00140799">
        <w:rPr>
          <w:rFonts w:ascii="Arial" w:hAnsi="Arial" w:cs="Arial"/>
          <w:sz w:val="22"/>
          <w:szCs w:val="22"/>
        </w:rPr>
        <w:t xml:space="preserve">G.K. Whitmyre, C. </w:t>
      </w:r>
      <w:proofErr w:type="spellStart"/>
      <w:r w:rsidRPr="00140799">
        <w:rPr>
          <w:rFonts w:ascii="Arial" w:hAnsi="Arial" w:cs="Arial"/>
          <w:sz w:val="22"/>
          <w:szCs w:val="22"/>
        </w:rPr>
        <w:t>Lunchick</w:t>
      </w:r>
      <w:proofErr w:type="spellEnd"/>
      <w:r w:rsidRPr="00140799">
        <w:rPr>
          <w:rFonts w:ascii="Arial" w:hAnsi="Arial" w:cs="Arial"/>
          <w:sz w:val="22"/>
          <w:szCs w:val="22"/>
        </w:rPr>
        <w:t xml:space="preserve">, and J. Ross.  2001.  </w:t>
      </w:r>
      <w:r w:rsidRPr="00140799">
        <w:rPr>
          <w:rFonts w:ascii="Arial" w:hAnsi="Arial" w:cs="Arial"/>
          <w:i/>
          <w:sz w:val="22"/>
          <w:szCs w:val="22"/>
        </w:rPr>
        <w:t>Chapter 20.  Occupational Exposure Databases/Models for Pesticides</w:t>
      </w:r>
      <w:r w:rsidRPr="00140799">
        <w:rPr>
          <w:rFonts w:ascii="Arial" w:hAnsi="Arial" w:cs="Arial"/>
          <w:sz w:val="22"/>
          <w:szCs w:val="22"/>
        </w:rPr>
        <w:t xml:space="preserve">.  IN: Krieger, R. (ed.), Handbook of Pesticide Toxicology, Second Edition.  Academic Press, San Diego, California. </w:t>
      </w:r>
    </w:p>
    <w:p w:rsidR="00140799" w:rsidRPr="00140799" w:rsidRDefault="00140799" w:rsidP="00140799">
      <w:pPr>
        <w:tabs>
          <w:tab w:val="left" w:pos="0"/>
        </w:tabs>
        <w:jc w:val="both"/>
        <w:rPr>
          <w:rFonts w:ascii="Arial" w:hAnsi="Arial" w:cs="Arial"/>
          <w:sz w:val="22"/>
          <w:szCs w:val="22"/>
        </w:rPr>
      </w:pPr>
    </w:p>
    <w:p w:rsidR="00140799" w:rsidRPr="00140799" w:rsidRDefault="00140799" w:rsidP="00140799">
      <w:pPr>
        <w:tabs>
          <w:tab w:val="left" w:pos="0"/>
        </w:tabs>
        <w:jc w:val="both"/>
        <w:rPr>
          <w:rFonts w:ascii="Arial" w:hAnsi="Arial" w:cs="Arial"/>
          <w:sz w:val="22"/>
          <w:szCs w:val="22"/>
        </w:rPr>
      </w:pPr>
      <w:r w:rsidRPr="00140799">
        <w:rPr>
          <w:rFonts w:ascii="Arial" w:hAnsi="Arial" w:cs="Arial"/>
          <w:sz w:val="22"/>
          <w:szCs w:val="22"/>
        </w:rPr>
        <w:t xml:space="preserve">J.H. Driver, J.H. Ross, J.B. Evans, and G.K. Whitmyre.  2001.  Chapter 16.  </w:t>
      </w:r>
      <w:r w:rsidRPr="00140799">
        <w:rPr>
          <w:rFonts w:ascii="Arial" w:hAnsi="Arial" w:cs="Arial"/>
          <w:i/>
          <w:sz w:val="22"/>
          <w:szCs w:val="22"/>
        </w:rPr>
        <w:t>Residential Exposure Assessment: An Overview</w:t>
      </w:r>
      <w:r w:rsidRPr="00140799">
        <w:rPr>
          <w:rFonts w:ascii="Arial" w:hAnsi="Arial" w:cs="Arial"/>
          <w:sz w:val="22"/>
          <w:szCs w:val="22"/>
        </w:rPr>
        <w:t>.  IN: Krieger, R. (ed.), Handbook of Pesticide Toxicology, Second Edition.  Academic Press, San Diego, California.</w:t>
      </w:r>
    </w:p>
    <w:p w:rsidR="00140799" w:rsidRPr="00140799" w:rsidRDefault="00140799" w:rsidP="00140799">
      <w:pPr>
        <w:tabs>
          <w:tab w:val="left" w:pos="0"/>
        </w:tabs>
        <w:jc w:val="both"/>
        <w:rPr>
          <w:rFonts w:ascii="Arial" w:hAnsi="Arial" w:cs="Arial"/>
          <w:sz w:val="22"/>
          <w:szCs w:val="22"/>
        </w:rPr>
      </w:pPr>
      <w:r w:rsidRPr="00140799">
        <w:rPr>
          <w:rFonts w:ascii="Arial" w:hAnsi="Arial" w:cs="Arial"/>
          <w:sz w:val="22"/>
          <w:szCs w:val="22"/>
        </w:rPr>
        <w:t xml:space="preserve"> </w:t>
      </w:r>
    </w:p>
    <w:p w:rsidR="00140799" w:rsidRPr="00140799" w:rsidRDefault="00140799" w:rsidP="00140799">
      <w:pPr>
        <w:tabs>
          <w:tab w:val="left" w:pos="0"/>
        </w:tabs>
        <w:jc w:val="both"/>
        <w:rPr>
          <w:rFonts w:ascii="Arial" w:hAnsi="Arial" w:cs="Arial"/>
          <w:sz w:val="22"/>
          <w:szCs w:val="22"/>
        </w:rPr>
      </w:pPr>
      <w:r w:rsidRPr="00140799">
        <w:rPr>
          <w:rFonts w:ascii="Arial" w:hAnsi="Arial" w:cs="Arial"/>
          <w:sz w:val="22"/>
          <w:szCs w:val="22"/>
        </w:rPr>
        <w:t xml:space="preserve">G.K. Whitmyre, </w:t>
      </w:r>
      <w:r w:rsidRPr="00140799">
        <w:rPr>
          <w:rFonts w:ascii="Arial" w:hAnsi="Arial" w:cs="Arial"/>
          <w:i/>
          <w:sz w:val="22"/>
          <w:szCs w:val="22"/>
        </w:rPr>
        <w:t>et al.</w:t>
      </w:r>
      <w:r w:rsidRPr="00140799">
        <w:rPr>
          <w:rFonts w:ascii="Arial" w:hAnsi="Arial" w:cs="Arial"/>
          <w:sz w:val="22"/>
          <w:szCs w:val="22"/>
        </w:rPr>
        <w:t xml:space="preserve"> 2001.  </w:t>
      </w:r>
      <w:r w:rsidRPr="00140799">
        <w:rPr>
          <w:rFonts w:ascii="Arial" w:hAnsi="Arial" w:cs="Arial"/>
          <w:i/>
          <w:sz w:val="22"/>
          <w:szCs w:val="22"/>
        </w:rPr>
        <w:t>Chapter 8.  Consumer Products and Related Sources</w:t>
      </w:r>
      <w:r w:rsidRPr="00140799">
        <w:rPr>
          <w:rFonts w:ascii="Arial" w:hAnsi="Arial" w:cs="Arial"/>
          <w:sz w:val="22"/>
          <w:szCs w:val="22"/>
        </w:rPr>
        <w:t xml:space="preserve">.  </w:t>
      </w:r>
      <w:r w:rsidRPr="00140799">
        <w:rPr>
          <w:rFonts w:ascii="Arial" w:hAnsi="Arial" w:cs="Arial"/>
          <w:sz w:val="22"/>
          <w:szCs w:val="22"/>
          <w:u w:val="single"/>
        </w:rPr>
        <w:t>IN</w:t>
      </w:r>
      <w:r w:rsidRPr="00140799">
        <w:rPr>
          <w:rFonts w:ascii="Arial" w:hAnsi="Arial" w:cs="Arial"/>
          <w:sz w:val="22"/>
          <w:szCs w:val="22"/>
        </w:rPr>
        <w:t>: S. Baker, J. Driver, and D. McCallum (eds.), Residential Exposure Assessment: A Source Book.  Kluwer Academic/</w:t>
      </w:r>
      <w:proofErr w:type="spellStart"/>
      <w:r w:rsidRPr="00140799">
        <w:rPr>
          <w:rFonts w:ascii="Arial" w:hAnsi="Arial" w:cs="Arial"/>
          <w:sz w:val="22"/>
          <w:szCs w:val="22"/>
        </w:rPr>
        <w:t>Plemum</w:t>
      </w:r>
      <w:proofErr w:type="spellEnd"/>
      <w:r w:rsidRPr="00140799">
        <w:rPr>
          <w:rFonts w:ascii="Arial" w:hAnsi="Arial" w:cs="Arial"/>
          <w:sz w:val="22"/>
          <w:szCs w:val="22"/>
        </w:rPr>
        <w:t xml:space="preserve"> Publishers, New York, New York, pp. 201-244.</w:t>
      </w:r>
    </w:p>
    <w:p w:rsidR="00140799" w:rsidRPr="00140799" w:rsidRDefault="00140799" w:rsidP="00140799">
      <w:pPr>
        <w:tabs>
          <w:tab w:val="left" w:pos="0"/>
        </w:tabs>
        <w:jc w:val="both"/>
        <w:rPr>
          <w:rFonts w:ascii="Arial" w:hAnsi="Arial" w:cs="Arial"/>
          <w:sz w:val="22"/>
          <w:szCs w:val="22"/>
        </w:rPr>
      </w:pPr>
    </w:p>
    <w:p w:rsidR="00140799" w:rsidRPr="00140799" w:rsidRDefault="00140799" w:rsidP="00140799">
      <w:pPr>
        <w:tabs>
          <w:tab w:val="left" w:pos="0"/>
        </w:tabs>
        <w:jc w:val="both"/>
        <w:rPr>
          <w:rFonts w:ascii="Arial" w:hAnsi="Arial" w:cs="Arial"/>
          <w:sz w:val="22"/>
          <w:szCs w:val="22"/>
        </w:rPr>
      </w:pPr>
      <w:r w:rsidRPr="00140799">
        <w:rPr>
          <w:rFonts w:ascii="Arial" w:hAnsi="Arial" w:cs="Arial"/>
          <w:sz w:val="22"/>
          <w:szCs w:val="22"/>
        </w:rPr>
        <w:t xml:space="preserve">F. </w:t>
      </w:r>
      <w:proofErr w:type="spellStart"/>
      <w:r w:rsidRPr="00140799">
        <w:rPr>
          <w:rFonts w:ascii="Arial" w:hAnsi="Arial" w:cs="Arial"/>
          <w:sz w:val="22"/>
          <w:szCs w:val="22"/>
        </w:rPr>
        <w:t>Whitford</w:t>
      </w:r>
      <w:proofErr w:type="spellEnd"/>
      <w:r w:rsidRPr="00140799">
        <w:rPr>
          <w:rFonts w:ascii="Arial" w:hAnsi="Arial" w:cs="Arial"/>
          <w:sz w:val="22"/>
          <w:szCs w:val="22"/>
        </w:rPr>
        <w:t xml:space="preserve">, C. </w:t>
      </w:r>
      <w:proofErr w:type="spellStart"/>
      <w:r w:rsidRPr="00140799">
        <w:rPr>
          <w:rFonts w:ascii="Arial" w:hAnsi="Arial" w:cs="Arial"/>
          <w:sz w:val="22"/>
          <w:szCs w:val="22"/>
        </w:rPr>
        <w:t>Lunchick</w:t>
      </w:r>
      <w:proofErr w:type="spellEnd"/>
      <w:r w:rsidRPr="00140799">
        <w:rPr>
          <w:rFonts w:ascii="Arial" w:hAnsi="Arial" w:cs="Arial"/>
          <w:sz w:val="22"/>
          <w:szCs w:val="22"/>
        </w:rPr>
        <w:t xml:space="preserve">, and G. Whitmyre. 1999.  </w:t>
      </w:r>
      <w:r w:rsidRPr="00140799">
        <w:rPr>
          <w:rFonts w:ascii="Arial" w:hAnsi="Arial" w:cs="Arial"/>
          <w:i/>
          <w:sz w:val="22"/>
          <w:szCs w:val="22"/>
        </w:rPr>
        <w:t>Occupational Exposure Assessment</w:t>
      </w:r>
      <w:r w:rsidRPr="00140799">
        <w:rPr>
          <w:rFonts w:ascii="Arial" w:hAnsi="Arial" w:cs="Arial"/>
          <w:sz w:val="22"/>
          <w:szCs w:val="22"/>
        </w:rPr>
        <w:t xml:space="preserve">.  </w:t>
      </w:r>
      <w:r w:rsidRPr="00140799">
        <w:rPr>
          <w:rFonts w:ascii="Arial" w:hAnsi="Arial" w:cs="Arial"/>
          <w:sz w:val="22"/>
          <w:szCs w:val="22"/>
          <w:u w:val="single"/>
        </w:rPr>
        <w:t>IN</w:t>
      </w:r>
      <w:r w:rsidRPr="00140799">
        <w:rPr>
          <w:rFonts w:ascii="Arial" w:hAnsi="Arial" w:cs="Arial"/>
          <w:sz w:val="22"/>
          <w:szCs w:val="22"/>
        </w:rPr>
        <w:t xml:space="preserve">: A. Blessing (ed.), Pesticides and Human Health Risk Assessment: Policies, Processes, and Procedures, pp 32-47.  </w:t>
      </w:r>
    </w:p>
    <w:p w:rsidR="00140799" w:rsidRPr="00140799" w:rsidRDefault="00140799" w:rsidP="00140799">
      <w:pPr>
        <w:tabs>
          <w:tab w:val="left" w:pos="0"/>
        </w:tabs>
        <w:jc w:val="both"/>
        <w:rPr>
          <w:rFonts w:ascii="Arial" w:hAnsi="Arial" w:cs="Arial"/>
          <w:sz w:val="22"/>
          <w:szCs w:val="22"/>
        </w:rPr>
      </w:pPr>
    </w:p>
    <w:p w:rsidR="00140799" w:rsidRPr="00140799" w:rsidRDefault="00140799" w:rsidP="00140799">
      <w:pPr>
        <w:tabs>
          <w:tab w:val="left" w:pos="0"/>
        </w:tabs>
        <w:jc w:val="both"/>
        <w:rPr>
          <w:rFonts w:ascii="Arial" w:hAnsi="Arial" w:cs="Arial"/>
          <w:sz w:val="22"/>
          <w:szCs w:val="22"/>
        </w:rPr>
      </w:pPr>
      <w:r w:rsidRPr="00140799">
        <w:rPr>
          <w:rFonts w:ascii="Arial" w:hAnsi="Arial" w:cs="Arial"/>
          <w:sz w:val="22"/>
          <w:szCs w:val="22"/>
        </w:rPr>
        <w:t xml:space="preserve">C.F. Wilkinson, G.K. Whitmyre, and J.H. Driver (contributing authors).  1998.  (P. Wexler, </w:t>
      </w:r>
      <w:proofErr w:type="gramStart"/>
      <w:r w:rsidRPr="00140799">
        <w:rPr>
          <w:rFonts w:ascii="Arial" w:hAnsi="Arial" w:cs="Arial"/>
          <w:sz w:val="22"/>
          <w:szCs w:val="22"/>
        </w:rPr>
        <w:t>ed</w:t>
      </w:r>
      <w:proofErr w:type="gramEnd"/>
      <w:r w:rsidRPr="00140799">
        <w:rPr>
          <w:rFonts w:ascii="Arial" w:hAnsi="Arial" w:cs="Arial"/>
          <w:sz w:val="22"/>
          <w:szCs w:val="22"/>
        </w:rPr>
        <w:t xml:space="preserve">.) </w:t>
      </w:r>
      <w:r w:rsidRPr="00140799">
        <w:rPr>
          <w:rFonts w:ascii="Arial" w:hAnsi="Arial" w:cs="Arial"/>
          <w:i/>
          <w:sz w:val="22"/>
          <w:szCs w:val="22"/>
        </w:rPr>
        <w:t>Encyclopedia of Toxicology,</w:t>
      </w:r>
      <w:r w:rsidRPr="00140799">
        <w:rPr>
          <w:rFonts w:ascii="Arial" w:hAnsi="Arial" w:cs="Arial"/>
          <w:sz w:val="22"/>
          <w:szCs w:val="22"/>
        </w:rPr>
        <w:t xml:space="preserve"> Academic Press, New York.</w:t>
      </w:r>
    </w:p>
    <w:p w:rsidR="00140799" w:rsidRPr="00140799" w:rsidRDefault="00140799" w:rsidP="00140799">
      <w:pPr>
        <w:tabs>
          <w:tab w:val="left" w:pos="0"/>
        </w:tabs>
        <w:jc w:val="both"/>
        <w:rPr>
          <w:rFonts w:ascii="Arial" w:hAnsi="Arial" w:cs="Arial"/>
          <w:sz w:val="22"/>
          <w:szCs w:val="22"/>
        </w:rPr>
      </w:pPr>
    </w:p>
    <w:p w:rsidR="00140799" w:rsidRPr="00140799" w:rsidRDefault="00140799" w:rsidP="00140799">
      <w:pPr>
        <w:tabs>
          <w:tab w:val="left" w:pos="0"/>
        </w:tabs>
        <w:jc w:val="both"/>
        <w:rPr>
          <w:rFonts w:ascii="Arial" w:hAnsi="Arial" w:cs="Arial"/>
          <w:sz w:val="22"/>
          <w:szCs w:val="22"/>
        </w:rPr>
      </w:pPr>
      <w:r w:rsidRPr="00140799">
        <w:rPr>
          <w:rFonts w:ascii="Arial" w:hAnsi="Arial" w:cs="Arial"/>
          <w:sz w:val="22"/>
          <w:szCs w:val="22"/>
        </w:rPr>
        <w:t xml:space="preserve">J.H. Driver, and G.K. Whitmyre.  1997.  </w:t>
      </w:r>
      <w:r w:rsidRPr="00140799">
        <w:rPr>
          <w:rFonts w:ascii="Arial" w:hAnsi="Arial" w:cs="Arial"/>
          <w:i/>
          <w:sz w:val="22"/>
          <w:szCs w:val="22"/>
        </w:rPr>
        <w:t>Pesticide Regulation and Human Health: The Role of Risk Assessment</w:t>
      </w:r>
      <w:r w:rsidRPr="00140799">
        <w:rPr>
          <w:rFonts w:ascii="Arial" w:hAnsi="Arial" w:cs="Arial"/>
          <w:sz w:val="22"/>
          <w:szCs w:val="22"/>
        </w:rPr>
        <w:t xml:space="preserve">.  </w:t>
      </w:r>
      <w:r w:rsidRPr="00140799">
        <w:rPr>
          <w:rFonts w:ascii="Arial" w:hAnsi="Arial" w:cs="Arial"/>
          <w:sz w:val="22"/>
          <w:szCs w:val="22"/>
          <w:u w:val="single"/>
        </w:rPr>
        <w:t>IN</w:t>
      </w:r>
      <w:r w:rsidRPr="00140799">
        <w:rPr>
          <w:rFonts w:ascii="Arial" w:hAnsi="Arial" w:cs="Arial"/>
          <w:sz w:val="22"/>
          <w:szCs w:val="22"/>
        </w:rPr>
        <w:t xml:space="preserve">: V. </w:t>
      </w:r>
      <w:proofErr w:type="spellStart"/>
      <w:r w:rsidRPr="00140799">
        <w:rPr>
          <w:rFonts w:ascii="Arial" w:hAnsi="Arial" w:cs="Arial"/>
          <w:sz w:val="22"/>
          <w:szCs w:val="22"/>
        </w:rPr>
        <w:t>Molak</w:t>
      </w:r>
      <w:proofErr w:type="spellEnd"/>
      <w:r w:rsidRPr="00140799">
        <w:rPr>
          <w:rFonts w:ascii="Arial" w:hAnsi="Arial" w:cs="Arial"/>
          <w:sz w:val="22"/>
          <w:szCs w:val="22"/>
        </w:rPr>
        <w:t xml:space="preserve"> (ed.), Fundamentals of Risk Analysis and Risk Management.  Boca Raton, Florida: CRC/Lewis Publishers, Inc. </w:t>
      </w:r>
    </w:p>
    <w:p w:rsidR="00140799" w:rsidRPr="00140799" w:rsidRDefault="00140799" w:rsidP="00140799">
      <w:pPr>
        <w:tabs>
          <w:tab w:val="left" w:pos="0"/>
        </w:tabs>
        <w:jc w:val="both"/>
        <w:rPr>
          <w:rFonts w:ascii="Arial" w:hAnsi="Arial" w:cs="Arial"/>
          <w:sz w:val="22"/>
          <w:szCs w:val="22"/>
        </w:rPr>
      </w:pPr>
    </w:p>
    <w:p w:rsidR="00140799" w:rsidRPr="00140799" w:rsidRDefault="00140799" w:rsidP="00140799">
      <w:pPr>
        <w:tabs>
          <w:tab w:val="left" w:pos="0"/>
        </w:tabs>
        <w:jc w:val="both"/>
        <w:rPr>
          <w:rFonts w:ascii="Arial" w:hAnsi="Arial" w:cs="Arial"/>
          <w:sz w:val="22"/>
          <w:szCs w:val="22"/>
        </w:rPr>
      </w:pPr>
      <w:r w:rsidRPr="00140799">
        <w:rPr>
          <w:rFonts w:ascii="Arial" w:hAnsi="Arial" w:cs="Arial"/>
          <w:sz w:val="22"/>
          <w:szCs w:val="22"/>
        </w:rPr>
        <w:t xml:space="preserve">G.K. Whitmyre, J.H. Driver, and P.J. Hakkinen.  1997.  </w:t>
      </w:r>
      <w:r w:rsidRPr="00140799">
        <w:rPr>
          <w:rFonts w:ascii="Arial" w:hAnsi="Arial" w:cs="Arial"/>
          <w:i/>
          <w:sz w:val="22"/>
          <w:szCs w:val="22"/>
        </w:rPr>
        <w:t>Assessment of Residential Exposures to Chemicals</w:t>
      </w:r>
      <w:r w:rsidRPr="00140799">
        <w:rPr>
          <w:rFonts w:ascii="Arial" w:hAnsi="Arial" w:cs="Arial"/>
          <w:sz w:val="22"/>
          <w:szCs w:val="22"/>
        </w:rPr>
        <w:t xml:space="preserve">.  </w:t>
      </w:r>
      <w:r w:rsidRPr="00140799">
        <w:rPr>
          <w:rFonts w:ascii="Arial" w:hAnsi="Arial" w:cs="Arial"/>
          <w:sz w:val="22"/>
          <w:szCs w:val="22"/>
          <w:u w:val="single"/>
        </w:rPr>
        <w:t>IN</w:t>
      </w:r>
      <w:r w:rsidRPr="00140799">
        <w:rPr>
          <w:rFonts w:ascii="Arial" w:hAnsi="Arial" w:cs="Arial"/>
          <w:sz w:val="22"/>
          <w:szCs w:val="22"/>
        </w:rPr>
        <w:t xml:space="preserve">: V. </w:t>
      </w:r>
      <w:proofErr w:type="spellStart"/>
      <w:r w:rsidRPr="00140799">
        <w:rPr>
          <w:rFonts w:ascii="Arial" w:hAnsi="Arial" w:cs="Arial"/>
          <w:sz w:val="22"/>
          <w:szCs w:val="22"/>
        </w:rPr>
        <w:t>Molak</w:t>
      </w:r>
      <w:proofErr w:type="spellEnd"/>
      <w:r w:rsidRPr="00140799">
        <w:rPr>
          <w:rFonts w:ascii="Arial" w:hAnsi="Arial" w:cs="Arial"/>
          <w:sz w:val="22"/>
          <w:szCs w:val="22"/>
        </w:rPr>
        <w:t xml:space="preserve"> (ed.), Fundamentals of Risk Analysis and Risk Management.  Boca Raton, Florida: CRC/Lewis Publishers, Inc.</w:t>
      </w:r>
    </w:p>
    <w:p w:rsidR="00140799" w:rsidRPr="00140799" w:rsidRDefault="00140799" w:rsidP="00140799">
      <w:pPr>
        <w:tabs>
          <w:tab w:val="left" w:pos="0"/>
        </w:tabs>
        <w:jc w:val="both"/>
        <w:rPr>
          <w:rFonts w:ascii="Arial" w:hAnsi="Arial" w:cs="Arial"/>
          <w:sz w:val="22"/>
          <w:szCs w:val="22"/>
        </w:rPr>
      </w:pPr>
    </w:p>
    <w:p w:rsidR="00140799" w:rsidRPr="00140799" w:rsidRDefault="00140799" w:rsidP="00140799">
      <w:pPr>
        <w:tabs>
          <w:tab w:val="left" w:pos="0"/>
        </w:tabs>
        <w:jc w:val="both"/>
        <w:rPr>
          <w:rFonts w:ascii="Arial" w:hAnsi="Arial" w:cs="Arial"/>
          <w:sz w:val="22"/>
          <w:szCs w:val="22"/>
        </w:rPr>
      </w:pPr>
      <w:r w:rsidRPr="00140799">
        <w:rPr>
          <w:rFonts w:ascii="Arial" w:hAnsi="Arial" w:cs="Arial"/>
          <w:sz w:val="22"/>
          <w:szCs w:val="22"/>
        </w:rPr>
        <w:t xml:space="preserve">J.H. Driver, M.E. Ginevan, and G.K. Whitmyre.  1996.  </w:t>
      </w:r>
      <w:r w:rsidRPr="00140799">
        <w:rPr>
          <w:rFonts w:ascii="Arial" w:hAnsi="Arial" w:cs="Arial"/>
          <w:i/>
          <w:sz w:val="22"/>
          <w:szCs w:val="22"/>
        </w:rPr>
        <w:t>Estimation of dietary exposures to chemicals: A case study illustrating methods of distributional analyses for food consumption data</w:t>
      </w:r>
      <w:r w:rsidRPr="00140799">
        <w:rPr>
          <w:rFonts w:ascii="Arial" w:hAnsi="Arial" w:cs="Arial"/>
          <w:sz w:val="22"/>
          <w:szCs w:val="22"/>
        </w:rPr>
        <w:t>.  Risk Analysis 16 (6): 763-771.</w:t>
      </w:r>
    </w:p>
    <w:p w:rsidR="00140799" w:rsidRPr="00140799" w:rsidRDefault="00140799" w:rsidP="00140799">
      <w:pPr>
        <w:tabs>
          <w:tab w:val="left" w:pos="0"/>
        </w:tabs>
        <w:jc w:val="both"/>
        <w:rPr>
          <w:rFonts w:ascii="Arial" w:hAnsi="Arial" w:cs="Arial"/>
          <w:sz w:val="22"/>
          <w:szCs w:val="22"/>
        </w:rPr>
      </w:pPr>
    </w:p>
    <w:p w:rsidR="00140799" w:rsidRPr="00140799" w:rsidRDefault="00140799" w:rsidP="00140799">
      <w:pPr>
        <w:tabs>
          <w:tab w:val="left" w:pos="0"/>
        </w:tabs>
        <w:jc w:val="both"/>
        <w:rPr>
          <w:rFonts w:ascii="Arial" w:hAnsi="Arial" w:cs="Arial"/>
          <w:sz w:val="22"/>
          <w:szCs w:val="22"/>
        </w:rPr>
      </w:pPr>
      <w:r w:rsidRPr="00140799">
        <w:rPr>
          <w:rFonts w:ascii="Arial" w:hAnsi="Arial" w:cs="Arial"/>
          <w:sz w:val="22"/>
          <w:szCs w:val="22"/>
        </w:rPr>
        <w:t xml:space="preserve">J.H. Driver, and G.K. Whitmyre.  1996.  </w:t>
      </w:r>
      <w:r w:rsidRPr="00140799">
        <w:rPr>
          <w:rFonts w:ascii="Arial" w:hAnsi="Arial" w:cs="Arial"/>
          <w:i/>
          <w:sz w:val="22"/>
          <w:szCs w:val="22"/>
        </w:rPr>
        <w:t>Assessment of residential exposures to pesticides and other chemicals</w:t>
      </w:r>
      <w:r w:rsidRPr="00140799">
        <w:rPr>
          <w:rFonts w:ascii="Arial" w:hAnsi="Arial" w:cs="Arial"/>
          <w:sz w:val="22"/>
          <w:szCs w:val="22"/>
        </w:rPr>
        <w:t>.  Pesticide Outlook 7 (4): 6-10.</w:t>
      </w:r>
    </w:p>
    <w:p w:rsidR="00140799" w:rsidRPr="00140799" w:rsidRDefault="00140799" w:rsidP="00140799">
      <w:pPr>
        <w:tabs>
          <w:tab w:val="left" w:pos="0"/>
        </w:tabs>
        <w:jc w:val="both"/>
        <w:rPr>
          <w:rFonts w:ascii="Arial" w:hAnsi="Arial" w:cs="Arial"/>
          <w:sz w:val="22"/>
          <w:szCs w:val="22"/>
        </w:rPr>
      </w:pPr>
    </w:p>
    <w:p w:rsidR="00140799" w:rsidRPr="00140799" w:rsidRDefault="00140799" w:rsidP="00140799">
      <w:pPr>
        <w:tabs>
          <w:tab w:val="left" w:pos="0"/>
        </w:tabs>
        <w:jc w:val="both"/>
        <w:rPr>
          <w:rFonts w:ascii="Arial" w:hAnsi="Arial" w:cs="Arial"/>
          <w:sz w:val="22"/>
          <w:szCs w:val="22"/>
        </w:rPr>
      </w:pPr>
      <w:r w:rsidRPr="00140799">
        <w:rPr>
          <w:rFonts w:ascii="Arial" w:hAnsi="Arial" w:cs="Arial"/>
          <w:sz w:val="22"/>
          <w:szCs w:val="22"/>
        </w:rPr>
        <w:t xml:space="preserve">K.K. Curry , D.J. Brookman, G.K. Whitmyre, J.H. Driver, R.J. Hackman, P.J. Hakkinen, and M.E. Ginevan.   1994.   </w:t>
      </w:r>
      <w:r w:rsidRPr="00140799">
        <w:rPr>
          <w:rFonts w:ascii="Arial" w:hAnsi="Arial" w:cs="Arial"/>
          <w:i/>
          <w:sz w:val="22"/>
          <w:szCs w:val="22"/>
        </w:rPr>
        <w:t xml:space="preserve">Personal Exposures to Toluene </w:t>
      </w:r>
      <w:proofErr w:type="gramStart"/>
      <w:r w:rsidRPr="00140799">
        <w:rPr>
          <w:rFonts w:ascii="Arial" w:hAnsi="Arial" w:cs="Arial"/>
          <w:i/>
          <w:sz w:val="22"/>
          <w:szCs w:val="22"/>
        </w:rPr>
        <w:t>During</w:t>
      </w:r>
      <w:proofErr w:type="gramEnd"/>
      <w:r w:rsidRPr="00140799">
        <w:rPr>
          <w:rFonts w:ascii="Arial" w:hAnsi="Arial" w:cs="Arial"/>
          <w:i/>
          <w:sz w:val="22"/>
          <w:szCs w:val="22"/>
        </w:rPr>
        <w:t xml:space="preserve"> Use of Nail Lacquers in Residences: Description of the Results of a Preliminary Study</w:t>
      </w:r>
      <w:r w:rsidRPr="00140799">
        <w:rPr>
          <w:rFonts w:ascii="Arial" w:hAnsi="Arial" w:cs="Arial"/>
          <w:sz w:val="22"/>
          <w:szCs w:val="22"/>
        </w:rPr>
        <w:t>.  Journal of Exposure Analysis and Environmental Epidemiology 4 (4): 443-456.</w:t>
      </w:r>
    </w:p>
    <w:p w:rsidR="00140799" w:rsidRPr="00140799" w:rsidRDefault="00140799" w:rsidP="00140799">
      <w:pPr>
        <w:tabs>
          <w:tab w:val="left" w:pos="0"/>
        </w:tabs>
        <w:jc w:val="both"/>
        <w:rPr>
          <w:rFonts w:ascii="Arial" w:hAnsi="Arial" w:cs="Arial"/>
          <w:sz w:val="22"/>
          <w:szCs w:val="22"/>
        </w:rPr>
      </w:pPr>
    </w:p>
    <w:p w:rsidR="00140799" w:rsidRPr="00140799" w:rsidRDefault="00140799" w:rsidP="00140799">
      <w:pPr>
        <w:tabs>
          <w:tab w:val="left" w:pos="0"/>
        </w:tabs>
        <w:jc w:val="both"/>
        <w:rPr>
          <w:rFonts w:ascii="Arial" w:hAnsi="Arial" w:cs="Arial"/>
          <w:sz w:val="22"/>
          <w:szCs w:val="22"/>
        </w:rPr>
      </w:pPr>
      <w:r w:rsidRPr="00140799">
        <w:rPr>
          <w:rFonts w:ascii="Arial" w:hAnsi="Arial" w:cs="Arial"/>
          <w:sz w:val="22"/>
          <w:szCs w:val="22"/>
        </w:rPr>
        <w:t xml:space="preserve">J.D. Conner, </w:t>
      </w:r>
      <w:proofErr w:type="spellStart"/>
      <w:r w:rsidRPr="00140799">
        <w:rPr>
          <w:rFonts w:ascii="Arial" w:hAnsi="Arial" w:cs="Arial"/>
          <w:sz w:val="22"/>
          <w:szCs w:val="22"/>
        </w:rPr>
        <w:t>Ebner</w:t>
      </w:r>
      <w:proofErr w:type="spellEnd"/>
      <w:r w:rsidRPr="00140799">
        <w:rPr>
          <w:rFonts w:ascii="Arial" w:hAnsi="Arial" w:cs="Arial"/>
          <w:sz w:val="22"/>
          <w:szCs w:val="22"/>
        </w:rPr>
        <w:t xml:space="preserve"> L.S., Landfair S.W., </w:t>
      </w:r>
      <w:r w:rsidRPr="00140799">
        <w:rPr>
          <w:rFonts w:ascii="Arial" w:hAnsi="Arial" w:cs="Arial"/>
          <w:i/>
          <w:sz w:val="22"/>
          <w:szCs w:val="22"/>
        </w:rPr>
        <w:t>et al.</w:t>
      </w:r>
      <w:r w:rsidRPr="00140799">
        <w:rPr>
          <w:rFonts w:ascii="Arial" w:hAnsi="Arial" w:cs="Arial"/>
          <w:sz w:val="22"/>
          <w:szCs w:val="22"/>
        </w:rPr>
        <w:t xml:space="preserve">, and Whitmyre G.K.  1993.  </w:t>
      </w:r>
      <w:r w:rsidRPr="00140799">
        <w:rPr>
          <w:rFonts w:ascii="Arial" w:hAnsi="Arial" w:cs="Arial"/>
          <w:i/>
          <w:sz w:val="22"/>
          <w:szCs w:val="22"/>
        </w:rPr>
        <w:t>Pesticide Regulation Handbook, Third Edition</w:t>
      </w:r>
      <w:r w:rsidRPr="00140799">
        <w:rPr>
          <w:rFonts w:ascii="Arial" w:hAnsi="Arial" w:cs="Arial"/>
          <w:sz w:val="22"/>
          <w:szCs w:val="22"/>
        </w:rPr>
        <w:t>.  New York: McGraw-Hill, Inc.</w:t>
      </w:r>
    </w:p>
    <w:p w:rsidR="00140799" w:rsidRPr="00140799" w:rsidRDefault="00140799" w:rsidP="00140799">
      <w:pPr>
        <w:tabs>
          <w:tab w:val="left" w:pos="0"/>
        </w:tabs>
        <w:jc w:val="both"/>
        <w:rPr>
          <w:rFonts w:ascii="Arial" w:hAnsi="Arial" w:cs="Arial"/>
          <w:sz w:val="22"/>
          <w:szCs w:val="22"/>
        </w:rPr>
      </w:pPr>
    </w:p>
    <w:p w:rsidR="00140799" w:rsidRPr="00140799" w:rsidRDefault="00140799" w:rsidP="00140799">
      <w:pPr>
        <w:tabs>
          <w:tab w:val="left" w:pos="0"/>
        </w:tabs>
        <w:jc w:val="both"/>
        <w:rPr>
          <w:rFonts w:ascii="Arial" w:hAnsi="Arial" w:cs="Arial"/>
          <w:sz w:val="22"/>
          <w:szCs w:val="22"/>
        </w:rPr>
      </w:pPr>
      <w:r w:rsidRPr="00140799">
        <w:rPr>
          <w:rFonts w:ascii="Arial" w:hAnsi="Arial" w:cs="Arial"/>
          <w:sz w:val="22"/>
          <w:szCs w:val="22"/>
        </w:rPr>
        <w:t xml:space="preserve">G.K. Whitmyre, J.H. Driver, M.E. Ginevan, S.R. Baker, and R.G. </w:t>
      </w:r>
      <w:proofErr w:type="spellStart"/>
      <w:r w:rsidRPr="00140799">
        <w:rPr>
          <w:rFonts w:ascii="Arial" w:hAnsi="Arial" w:cs="Arial"/>
          <w:sz w:val="22"/>
          <w:szCs w:val="22"/>
        </w:rPr>
        <w:t>Tardiff</w:t>
      </w:r>
      <w:proofErr w:type="spellEnd"/>
      <w:r w:rsidRPr="00140799">
        <w:rPr>
          <w:rFonts w:ascii="Arial" w:hAnsi="Arial" w:cs="Arial"/>
          <w:sz w:val="22"/>
          <w:szCs w:val="22"/>
        </w:rPr>
        <w:t xml:space="preserve">. 1992.  </w:t>
      </w:r>
      <w:r w:rsidRPr="00140799">
        <w:rPr>
          <w:rFonts w:ascii="Arial" w:hAnsi="Arial" w:cs="Arial"/>
          <w:i/>
          <w:sz w:val="22"/>
          <w:szCs w:val="22"/>
        </w:rPr>
        <w:t>Human Exposure Assessment I: Understanding the Uncertainties</w:t>
      </w:r>
      <w:r w:rsidRPr="00140799">
        <w:rPr>
          <w:rFonts w:ascii="Arial" w:hAnsi="Arial" w:cs="Arial"/>
          <w:sz w:val="22"/>
          <w:szCs w:val="22"/>
        </w:rPr>
        <w:t>.  Toxicology and Industrial Health 8 (5): 297-320.</w:t>
      </w:r>
    </w:p>
    <w:p w:rsidR="00140799" w:rsidRPr="00140799" w:rsidRDefault="00140799" w:rsidP="00140799">
      <w:pPr>
        <w:tabs>
          <w:tab w:val="left" w:pos="0"/>
        </w:tabs>
        <w:jc w:val="both"/>
        <w:rPr>
          <w:rFonts w:ascii="Arial" w:hAnsi="Arial" w:cs="Arial"/>
          <w:sz w:val="22"/>
          <w:szCs w:val="22"/>
        </w:rPr>
      </w:pPr>
    </w:p>
    <w:p w:rsidR="00140799" w:rsidRPr="00140799" w:rsidRDefault="00140799" w:rsidP="00140799">
      <w:pPr>
        <w:tabs>
          <w:tab w:val="left" w:pos="0"/>
        </w:tabs>
        <w:jc w:val="both"/>
        <w:rPr>
          <w:rFonts w:ascii="Arial" w:hAnsi="Arial" w:cs="Arial"/>
          <w:sz w:val="22"/>
          <w:szCs w:val="22"/>
        </w:rPr>
      </w:pPr>
      <w:r w:rsidRPr="00140799">
        <w:rPr>
          <w:rFonts w:ascii="Arial" w:hAnsi="Arial" w:cs="Arial"/>
          <w:sz w:val="22"/>
          <w:szCs w:val="22"/>
        </w:rPr>
        <w:lastRenderedPageBreak/>
        <w:t xml:space="preserve">G.K. Whitmyre, J.H. Driver, M.E. Ginevan, S.R. Baker, and R.G. </w:t>
      </w:r>
      <w:proofErr w:type="spellStart"/>
      <w:r w:rsidRPr="00140799">
        <w:rPr>
          <w:rFonts w:ascii="Arial" w:hAnsi="Arial" w:cs="Arial"/>
          <w:sz w:val="22"/>
          <w:szCs w:val="22"/>
        </w:rPr>
        <w:t>Tardiff</w:t>
      </w:r>
      <w:proofErr w:type="spellEnd"/>
      <w:r w:rsidRPr="00140799">
        <w:rPr>
          <w:rFonts w:ascii="Arial" w:hAnsi="Arial" w:cs="Arial"/>
          <w:sz w:val="22"/>
          <w:szCs w:val="22"/>
        </w:rPr>
        <w:t xml:space="preserve">. 1992.  </w:t>
      </w:r>
      <w:r w:rsidRPr="00140799">
        <w:rPr>
          <w:rFonts w:ascii="Arial" w:hAnsi="Arial" w:cs="Arial"/>
          <w:i/>
          <w:sz w:val="22"/>
          <w:szCs w:val="22"/>
        </w:rPr>
        <w:t>Human Exposure Assessment II: Quantifying and Reducing the Uncertainties</w:t>
      </w:r>
      <w:r w:rsidRPr="00140799">
        <w:rPr>
          <w:rFonts w:ascii="Arial" w:hAnsi="Arial" w:cs="Arial"/>
          <w:sz w:val="22"/>
          <w:szCs w:val="22"/>
        </w:rPr>
        <w:t>.  Toxicology and Industrial Health 8 (5): 321-342.</w:t>
      </w:r>
    </w:p>
    <w:p w:rsidR="00140799" w:rsidRPr="00140799" w:rsidRDefault="00140799" w:rsidP="00140799">
      <w:pPr>
        <w:tabs>
          <w:tab w:val="left" w:pos="0"/>
        </w:tabs>
        <w:jc w:val="both"/>
        <w:rPr>
          <w:rFonts w:ascii="Arial" w:hAnsi="Arial" w:cs="Arial"/>
          <w:sz w:val="22"/>
          <w:szCs w:val="22"/>
        </w:rPr>
      </w:pPr>
    </w:p>
    <w:p w:rsidR="00140799" w:rsidRPr="00140799" w:rsidRDefault="00140799" w:rsidP="00140799">
      <w:pPr>
        <w:tabs>
          <w:tab w:val="left" w:pos="0"/>
        </w:tabs>
        <w:jc w:val="both"/>
        <w:rPr>
          <w:rFonts w:ascii="Arial" w:hAnsi="Arial" w:cs="Arial"/>
          <w:sz w:val="22"/>
          <w:szCs w:val="22"/>
        </w:rPr>
      </w:pPr>
      <w:r w:rsidRPr="00140799">
        <w:rPr>
          <w:rFonts w:ascii="Arial" w:hAnsi="Arial" w:cs="Arial"/>
          <w:sz w:val="22"/>
          <w:szCs w:val="22"/>
        </w:rPr>
        <w:t xml:space="preserve">J.H. Driver, J.J. </w:t>
      </w:r>
      <w:proofErr w:type="spellStart"/>
      <w:r w:rsidRPr="00140799">
        <w:rPr>
          <w:rFonts w:ascii="Arial" w:hAnsi="Arial" w:cs="Arial"/>
          <w:sz w:val="22"/>
          <w:szCs w:val="22"/>
        </w:rPr>
        <w:t>Konz</w:t>
      </w:r>
      <w:proofErr w:type="spellEnd"/>
      <w:r w:rsidRPr="00140799">
        <w:rPr>
          <w:rFonts w:ascii="Arial" w:hAnsi="Arial" w:cs="Arial"/>
          <w:sz w:val="22"/>
          <w:szCs w:val="22"/>
        </w:rPr>
        <w:t xml:space="preserve">, and G.K. Whitmyre.  1989.   </w:t>
      </w:r>
      <w:r w:rsidRPr="00140799">
        <w:rPr>
          <w:rFonts w:ascii="Arial" w:hAnsi="Arial" w:cs="Arial"/>
          <w:i/>
          <w:sz w:val="22"/>
          <w:szCs w:val="22"/>
        </w:rPr>
        <w:t>Soil Adherence to Human Skin</w:t>
      </w:r>
      <w:r w:rsidRPr="00140799">
        <w:rPr>
          <w:rFonts w:ascii="Arial" w:hAnsi="Arial" w:cs="Arial"/>
          <w:sz w:val="22"/>
          <w:szCs w:val="22"/>
        </w:rPr>
        <w:t xml:space="preserve">.  Bulletin of Environmental Contamination and Toxicology 43: 814-820.  </w:t>
      </w:r>
    </w:p>
    <w:p w:rsidR="00140799" w:rsidRPr="00140799" w:rsidRDefault="00140799" w:rsidP="00140799">
      <w:pPr>
        <w:tabs>
          <w:tab w:val="left" w:pos="0"/>
        </w:tabs>
        <w:jc w:val="both"/>
        <w:rPr>
          <w:rFonts w:ascii="Arial" w:hAnsi="Arial" w:cs="Arial"/>
          <w:sz w:val="22"/>
          <w:szCs w:val="22"/>
        </w:rPr>
      </w:pPr>
    </w:p>
    <w:p w:rsidR="00140799" w:rsidRPr="00140799" w:rsidRDefault="00140799" w:rsidP="00140799">
      <w:pPr>
        <w:tabs>
          <w:tab w:val="left" w:pos="0"/>
        </w:tabs>
        <w:jc w:val="both"/>
        <w:rPr>
          <w:rFonts w:ascii="Arial" w:hAnsi="Arial" w:cs="Arial"/>
          <w:sz w:val="22"/>
          <w:szCs w:val="22"/>
        </w:rPr>
      </w:pPr>
      <w:r w:rsidRPr="00140799">
        <w:rPr>
          <w:rFonts w:ascii="Arial" w:hAnsi="Arial" w:cs="Arial"/>
          <w:sz w:val="22"/>
          <w:szCs w:val="22"/>
        </w:rPr>
        <w:t>G.K. Whitmyre</w:t>
      </w:r>
      <w:r w:rsidR="00EA75CE">
        <w:rPr>
          <w:rFonts w:ascii="Arial" w:hAnsi="Arial" w:cs="Arial"/>
          <w:sz w:val="22"/>
          <w:szCs w:val="22"/>
        </w:rPr>
        <w:t>.</w:t>
      </w:r>
      <w:r w:rsidRPr="00140799">
        <w:rPr>
          <w:rFonts w:ascii="Arial" w:hAnsi="Arial" w:cs="Arial"/>
          <w:sz w:val="22"/>
          <w:szCs w:val="22"/>
        </w:rPr>
        <w:t xml:space="preserve"> 1981.  </w:t>
      </w:r>
      <w:r w:rsidRPr="00140799">
        <w:rPr>
          <w:rFonts w:ascii="Arial" w:hAnsi="Arial" w:cs="Arial"/>
          <w:i/>
          <w:sz w:val="22"/>
          <w:szCs w:val="22"/>
        </w:rPr>
        <w:t xml:space="preserve">A Review of </w:t>
      </w:r>
      <w:r w:rsidRPr="00140799">
        <w:rPr>
          <w:rFonts w:ascii="Arial" w:hAnsi="Arial" w:cs="Arial"/>
          <w:i/>
          <w:sz w:val="22"/>
          <w:szCs w:val="22"/>
          <w:u w:val="single"/>
        </w:rPr>
        <w:t>In</w:t>
      </w:r>
      <w:r w:rsidRPr="00140799">
        <w:rPr>
          <w:rFonts w:ascii="Arial" w:hAnsi="Arial" w:cs="Arial"/>
          <w:i/>
          <w:sz w:val="22"/>
          <w:szCs w:val="22"/>
        </w:rPr>
        <w:t xml:space="preserve"> </w:t>
      </w:r>
      <w:r w:rsidRPr="00140799">
        <w:rPr>
          <w:rFonts w:ascii="Arial" w:hAnsi="Arial" w:cs="Arial"/>
          <w:i/>
          <w:sz w:val="22"/>
          <w:szCs w:val="22"/>
          <w:u w:val="single"/>
        </w:rPr>
        <w:t>Vitro</w:t>
      </w:r>
      <w:r w:rsidRPr="00140799">
        <w:rPr>
          <w:rFonts w:ascii="Arial" w:hAnsi="Arial" w:cs="Arial"/>
          <w:i/>
          <w:sz w:val="22"/>
          <w:szCs w:val="22"/>
        </w:rPr>
        <w:t xml:space="preserve"> Testing Systems Applicable to Diesel Health Effects Research</w:t>
      </w:r>
      <w:r w:rsidRPr="00140799">
        <w:rPr>
          <w:rFonts w:ascii="Arial" w:hAnsi="Arial" w:cs="Arial"/>
          <w:sz w:val="22"/>
          <w:szCs w:val="22"/>
        </w:rPr>
        <w:t>. Environmental International 5: 285-291.</w:t>
      </w:r>
    </w:p>
    <w:p w:rsidR="00140799" w:rsidRPr="00140799" w:rsidRDefault="00140799" w:rsidP="00140799">
      <w:pPr>
        <w:tabs>
          <w:tab w:val="left" w:pos="0"/>
        </w:tabs>
        <w:jc w:val="both"/>
        <w:rPr>
          <w:rFonts w:ascii="Arial" w:hAnsi="Arial" w:cs="Arial"/>
          <w:sz w:val="22"/>
          <w:szCs w:val="22"/>
          <w:lang w:val="sv-SE"/>
        </w:rPr>
      </w:pPr>
    </w:p>
    <w:p w:rsidR="00E55B04" w:rsidRDefault="00E55B04" w:rsidP="00140799"/>
    <w:p w:rsidR="00913C19" w:rsidRDefault="00913C19" w:rsidP="00140799"/>
    <w:p w:rsidR="00913C19" w:rsidRDefault="00913C19" w:rsidP="00140799"/>
    <w:p w:rsidR="00913C19" w:rsidRDefault="00913C19" w:rsidP="00140799"/>
    <w:p w:rsidR="00262EBE" w:rsidRDefault="00262EBE" w:rsidP="00140799">
      <w:pPr>
        <w:rPr>
          <w:sz w:val="18"/>
          <w:szCs w:val="18"/>
        </w:rPr>
      </w:pPr>
    </w:p>
    <w:p w:rsidR="00262EBE" w:rsidRDefault="00262EBE" w:rsidP="00140799">
      <w:pPr>
        <w:rPr>
          <w:sz w:val="18"/>
          <w:szCs w:val="18"/>
        </w:rPr>
      </w:pPr>
    </w:p>
    <w:p w:rsidR="00262EBE" w:rsidRDefault="00262EBE" w:rsidP="00140799">
      <w:pPr>
        <w:rPr>
          <w:sz w:val="18"/>
          <w:szCs w:val="18"/>
        </w:rPr>
      </w:pPr>
    </w:p>
    <w:p w:rsidR="00262EBE" w:rsidRDefault="00262EBE" w:rsidP="00140799">
      <w:pPr>
        <w:rPr>
          <w:sz w:val="18"/>
          <w:szCs w:val="18"/>
        </w:rPr>
      </w:pPr>
    </w:p>
    <w:p w:rsidR="00262EBE" w:rsidRDefault="00262EBE" w:rsidP="00140799">
      <w:pPr>
        <w:rPr>
          <w:sz w:val="18"/>
          <w:szCs w:val="18"/>
        </w:rPr>
      </w:pPr>
    </w:p>
    <w:p w:rsidR="00262EBE" w:rsidRDefault="00262EBE" w:rsidP="00140799">
      <w:pPr>
        <w:rPr>
          <w:sz w:val="18"/>
          <w:szCs w:val="18"/>
        </w:rPr>
      </w:pPr>
    </w:p>
    <w:p w:rsidR="00262EBE" w:rsidRDefault="00262EBE" w:rsidP="00140799">
      <w:pPr>
        <w:rPr>
          <w:sz w:val="18"/>
          <w:szCs w:val="18"/>
        </w:rPr>
      </w:pPr>
    </w:p>
    <w:p w:rsidR="00262EBE" w:rsidRDefault="00262EBE" w:rsidP="00140799">
      <w:pPr>
        <w:rPr>
          <w:sz w:val="18"/>
          <w:szCs w:val="18"/>
        </w:rPr>
      </w:pPr>
    </w:p>
    <w:p w:rsidR="00262EBE" w:rsidRDefault="00262EBE" w:rsidP="00140799">
      <w:pPr>
        <w:rPr>
          <w:sz w:val="18"/>
          <w:szCs w:val="18"/>
        </w:rPr>
      </w:pPr>
    </w:p>
    <w:p w:rsidR="00262EBE" w:rsidRDefault="00262EBE" w:rsidP="00140799">
      <w:pPr>
        <w:rPr>
          <w:sz w:val="18"/>
          <w:szCs w:val="18"/>
        </w:rPr>
      </w:pPr>
    </w:p>
    <w:p w:rsidR="00262EBE" w:rsidRDefault="00262EBE" w:rsidP="00140799">
      <w:pPr>
        <w:rPr>
          <w:sz w:val="18"/>
          <w:szCs w:val="18"/>
        </w:rPr>
      </w:pPr>
    </w:p>
    <w:p w:rsidR="00262EBE" w:rsidRDefault="00262EBE" w:rsidP="00140799">
      <w:pPr>
        <w:rPr>
          <w:sz w:val="18"/>
          <w:szCs w:val="18"/>
        </w:rPr>
      </w:pPr>
    </w:p>
    <w:p w:rsidR="00262EBE" w:rsidRDefault="00262EBE" w:rsidP="00140799">
      <w:pPr>
        <w:rPr>
          <w:sz w:val="18"/>
          <w:szCs w:val="18"/>
        </w:rPr>
      </w:pPr>
    </w:p>
    <w:p w:rsidR="00262EBE" w:rsidRDefault="00262EBE" w:rsidP="00140799">
      <w:pPr>
        <w:rPr>
          <w:sz w:val="18"/>
          <w:szCs w:val="18"/>
        </w:rPr>
      </w:pPr>
    </w:p>
    <w:p w:rsidR="00262EBE" w:rsidRDefault="00262EBE" w:rsidP="00140799">
      <w:pPr>
        <w:rPr>
          <w:sz w:val="18"/>
          <w:szCs w:val="18"/>
        </w:rPr>
      </w:pPr>
    </w:p>
    <w:p w:rsidR="00262EBE" w:rsidRDefault="00262EBE" w:rsidP="00140799">
      <w:pPr>
        <w:rPr>
          <w:sz w:val="18"/>
          <w:szCs w:val="18"/>
        </w:rPr>
      </w:pPr>
    </w:p>
    <w:p w:rsidR="00262EBE" w:rsidRDefault="00262EBE" w:rsidP="00140799">
      <w:pPr>
        <w:rPr>
          <w:sz w:val="18"/>
          <w:szCs w:val="18"/>
        </w:rPr>
      </w:pPr>
    </w:p>
    <w:p w:rsidR="00262EBE" w:rsidRDefault="00262EBE" w:rsidP="00140799">
      <w:pPr>
        <w:rPr>
          <w:sz w:val="18"/>
          <w:szCs w:val="18"/>
        </w:rPr>
      </w:pPr>
    </w:p>
    <w:p w:rsidR="00262EBE" w:rsidRDefault="00262EBE" w:rsidP="00140799">
      <w:pPr>
        <w:rPr>
          <w:sz w:val="18"/>
          <w:szCs w:val="18"/>
        </w:rPr>
      </w:pPr>
    </w:p>
    <w:p w:rsidR="00262EBE" w:rsidRDefault="00262EBE" w:rsidP="00140799">
      <w:pPr>
        <w:rPr>
          <w:sz w:val="18"/>
          <w:szCs w:val="18"/>
        </w:rPr>
      </w:pPr>
    </w:p>
    <w:p w:rsidR="00262EBE" w:rsidRDefault="00262EBE" w:rsidP="00140799">
      <w:pPr>
        <w:rPr>
          <w:sz w:val="18"/>
          <w:szCs w:val="18"/>
        </w:rPr>
      </w:pPr>
    </w:p>
    <w:p w:rsidR="00262EBE" w:rsidRDefault="00262EBE" w:rsidP="00140799">
      <w:pPr>
        <w:rPr>
          <w:sz w:val="18"/>
          <w:szCs w:val="18"/>
        </w:rPr>
      </w:pPr>
    </w:p>
    <w:p w:rsidR="00262EBE" w:rsidRDefault="00262EBE" w:rsidP="00140799">
      <w:pPr>
        <w:rPr>
          <w:sz w:val="18"/>
          <w:szCs w:val="18"/>
        </w:rPr>
      </w:pPr>
    </w:p>
    <w:p w:rsidR="00262EBE" w:rsidRDefault="00262EBE" w:rsidP="00140799">
      <w:pPr>
        <w:rPr>
          <w:sz w:val="18"/>
          <w:szCs w:val="18"/>
        </w:rPr>
      </w:pPr>
    </w:p>
    <w:p w:rsidR="00262EBE" w:rsidRDefault="00262EBE" w:rsidP="00140799">
      <w:pPr>
        <w:rPr>
          <w:sz w:val="18"/>
          <w:szCs w:val="18"/>
        </w:rPr>
      </w:pPr>
    </w:p>
    <w:p w:rsidR="00262EBE" w:rsidRDefault="00262EBE" w:rsidP="00140799">
      <w:pPr>
        <w:rPr>
          <w:sz w:val="18"/>
          <w:szCs w:val="18"/>
        </w:rPr>
      </w:pPr>
    </w:p>
    <w:p w:rsidR="00262EBE" w:rsidRDefault="00262EBE" w:rsidP="00140799">
      <w:pPr>
        <w:rPr>
          <w:sz w:val="18"/>
          <w:szCs w:val="18"/>
        </w:rPr>
      </w:pPr>
    </w:p>
    <w:p w:rsidR="00262EBE" w:rsidRDefault="00262EBE" w:rsidP="00140799">
      <w:pPr>
        <w:rPr>
          <w:sz w:val="18"/>
          <w:szCs w:val="18"/>
        </w:rPr>
      </w:pPr>
    </w:p>
    <w:p w:rsidR="00262EBE" w:rsidRDefault="00262EBE" w:rsidP="00140799">
      <w:pPr>
        <w:rPr>
          <w:sz w:val="18"/>
          <w:szCs w:val="18"/>
        </w:rPr>
      </w:pPr>
    </w:p>
    <w:p w:rsidR="00262EBE" w:rsidRDefault="00262EBE" w:rsidP="00140799">
      <w:pPr>
        <w:rPr>
          <w:sz w:val="18"/>
          <w:szCs w:val="18"/>
        </w:rPr>
      </w:pPr>
    </w:p>
    <w:p w:rsidR="00262EBE" w:rsidRDefault="00262EBE" w:rsidP="00140799">
      <w:pPr>
        <w:rPr>
          <w:sz w:val="18"/>
          <w:szCs w:val="18"/>
        </w:rPr>
      </w:pPr>
    </w:p>
    <w:p w:rsidR="00262EBE" w:rsidRDefault="00262EBE" w:rsidP="00140799">
      <w:pPr>
        <w:rPr>
          <w:sz w:val="18"/>
          <w:szCs w:val="18"/>
        </w:rPr>
      </w:pPr>
    </w:p>
    <w:p w:rsidR="00262EBE" w:rsidRDefault="00262EBE" w:rsidP="00140799">
      <w:pPr>
        <w:rPr>
          <w:sz w:val="18"/>
          <w:szCs w:val="18"/>
        </w:rPr>
      </w:pPr>
    </w:p>
    <w:p w:rsidR="00262EBE" w:rsidRDefault="00262EBE" w:rsidP="00140799">
      <w:pPr>
        <w:rPr>
          <w:sz w:val="18"/>
          <w:szCs w:val="18"/>
        </w:rPr>
      </w:pPr>
    </w:p>
    <w:p w:rsidR="00262EBE" w:rsidRDefault="00262EBE" w:rsidP="00140799">
      <w:pPr>
        <w:rPr>
          <w:sz w:val="18"/>
          <w:szCs w:val="18"/>
        </w:rPr>
      </w:pPr>
    </w:p>
    <w:p w:rsidR="00262EBE" w:rsidRDefault="00262EBE" w:rsidP="00140799">
      <w:pPr>
        <w:rPr>
          <w:sz w:val="18"/>
          <w:szCs w:val="18"/>
        </w:rPr>
      </w:pPr>
    </w:p>
    <w:p w:rsidR="00262EBE" w:rsidRDefault="00262EBE" w:rsidP="00140799">
      <w:pPr>
        <w:rPr>
          <w:sz w:val="18"/>
          <w:szCs w:val="18"/>
        </w:rPr>
      </w:pPr>
    </w:p>
    <w:p w:rsidR="00262EBE" w:rsidRDefault="00262EBE" w:rsidP="00140799">
      <w:pPr>
        <w:rPr>
          <w:sz w:val="18"/>
          <w:szCs w:val="18"/>
        </w:rPr>
      </w:pPr>
    </w:p>
    <w:p w:rsidR="00262EBE" w:rsidRDefault="00262EBE" w:rsidP="00140799">
      <w:pPr>
        <w:rPr>
          <w:sz w:val="18"/>
          <w:szCs w:val="18"/>
        </w:rPr>
      </w:pPr>
    </w:p>
    <w:p w:rsidR="00262EBE" w:rsidRDefault="00262EBE" w:rsidP="00140799">
      <w:pPr>
        <w:rPr>
          <w:sz w:val="18"/>
          <w:szCs w:val="18"/>
        </w:rPr>
      </w:pPr>
    </w:p>
    <w:p w:rsidR="00262EBE" w:rsidRDefault="00262EBE" w:rsidP="00140799">
      <w:pPr>
        <w:rPr>
          <w:sz w:val="18"/>
          <w:szCs w:val="18"/>
        </w:rPr>
      </w:pPr>
    </w:p>
    <w:p w:rsidR="00262EBE" w:rsidRDefault="00262EBE" w:rsidP="00140799">
      <w:pPr>
        <w:rPr>
          <w:sz w:val="18"/>
          <w:szCs w:val="18"/>
        </w:rPr>
      </w:pPr>
    </w:p>
    <w:p w:rsidR="00262EBE" w:rsidRDefault="00262EBE" w:rsidP="00140799">
      <w:pPr>
        <w:rPr>
          <w:sz w:val="18"/>
          <w:szCs w:val="18"/>
        </w:rPr>
      </w:pPr>
    </w:p>
    <w:p w:rsidR="00913C19" w:rsidRPr="00913C19" w:rsidRDefault="00913C19" w:rsidP="00140799">
      <w:pPr>
        <w:rPr>
          <w:sz w:val="18"/>
          <w:szCs w:val="18"/>
        </w:rPr>
      </w:pPr>
      <w:r w:rsidRPr="00913C19">
        <w:rPr>
          <w:sz w:val="18"/>
          <w:szCs w:val="18"/>
        </w:rPr>
        <w:t xml:space="preserve">Updated: </w:t>
      </w:r>
      <w:r w:rsidR="00A35934">
        <w:rPr>
          <w:sz w:val="18"/>
          <w:szCs w:val="18"/>
        </w:rPr>
        <w:t>September 26</w:t>
      </w:r>
      <w:r w:rsidRPr="00913C19">
        <w:rPr>
          <w:sz w:val="18"/>
          <w:szCs w:val="18"/>
        </w:rPr>
        <w:t>, 201</w:t>
      </w:r>
      <w:r w:rsidR="00A35934">
        <w:rPr>
          <w:sz w:val="18"/>
          <w:szCs w:val="18"/>
        </w:rPr>
        <w:t>7</w:t>
      </w:r>
      <w:r w:rsidRPr="00913C19">
        <w:rPr>
          <w:sz w:val="18"/>
          <w:szCs w:val="18"/>
        </w:rPr>
        <w:t xml:space="preserve"> </w:t>
      </w:r>
    </w:p>
    <w:sectPr w:rsidR="00913C19" w:rsidRPr="00913C19" w:rsidSect="003A792C">
      <w:headerReference w:type="default" r:id="rId7"/>
      <w:headerReference w:type="first" r:id="rId8"/>
      <w:pgSz w:w="12240" w:h="15840" w:code="1"/>
      <w:pgMar w:top="1260" w:right="1440" w:bottom="720" w:left="1440" w:header="45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F82" w:rsidRDefault="00B35F82">
      <w:r>
        <w:separator/>
      </w:r>
    </w:p>
  </w:endnote>
  <w:endnote w:type="continuationSeparator" w:id="0">
    <w:p w:rsidR="00B35F82" w:rsidRDefault="00B35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F82" w:rsidRDefault="00B35F82">
      <w:r>
        <w:separator/>
      </w:r>
    </w:p>
  </w:footnote>
  <w:footnote w:type="continuationSeparator" w:id="0">
    <w:p w:rsidR="00B35F82" w:rsidRDefault="00B35F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AFB" w:rsidRDefault="00E73AFB" w:rsidP="00CB676A">
    <w:pPr>
      <w:pStyle w:val="Header"/>
      <w:jc w:val="center"/>
    </w:pPr>
    <w:r>
      <w:t>-</w:t>
    </w:r>
    <w:r w:rsidR="00FC4A5A">
      <w:rPr>
        <w:rStyle w:val="PageNumber"/>
      </w:rPr>
      <w:fldChar w:fldCharType="begin"/>
    </w:r>
    <w:r>
      <w:rPr>
        <w:rStyle w:val="PageNumber"/>
      </w:rPr>
      <w:instrText xml:space="preserve"> PAGE </w:instrText>
    </w:r>
    <w:r w:rsidR="00FC4A5A">
      <w:rPr>
        <w:rStyle w:val="PageNumber"/>
      </w:rPr>
      <w:fldChar w:fldCharType="separate"/>
    </w:r>
    <w:r w:rsidR="00423A50">
      <w:rPr>
        <w:rStyle w:val="PageNumber"/>
        <w:noProof/>
      </w:rPr>
      <w:t>6</w:t>
    </w:r>
    <w:r w:rsidR="00FC4A5A">
      <w:rPr>
        <w:rStyle w:val="PageNumber"/>
      </w:rPr>
      <w:fldChar w:fldCharType="end"/>
    </w:r>
    <w:r>
      <w:rPr>
        <w:rStyle w:val="PageNumbe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AFB" w:rsidRPr="00316B76" w:rsidRDefault="00E73AFB" w:rsidP="00164C9D">
    <w:pPr>
      <w:autoSpaceDE w:val="0"/>
      <w:autoSpaceDN w:val="0"/>
      <w:adjustRightInd w:val="0"/>
      <w:ind w:right="36"/>
      <w:jc w:val="center"/>
      <w:outlineLvl w:val="0"/>
      <w:rPr>
        <w:rFonts w:ascii="Arial" w:hAnsi="Arial" w:cs="Arial"/>
        <w:color w:val="00007E"/>
        <w:sz w:val="52"/>
        <w:szCs w:val="52"/>
      </w:rPr>
    </w:pPr>
    <w:proofErr w:type="spellStart"/>
    <w:proofErr w:type="gramStart"/>
    <w:r w:rsidRPr="00316B76">
      <w:rPr>
        <w:rFonts w:ascii="Arial" w:hAnsi="Arial" w:cs="Arial"/>
        <w:b/>
        <w:bCs/>
        <w:i/>
        <w:iCs/>
        <w:color w:val="00007E"/>
        <w:sz w:val="56"/>
        <w:szCs w:val="56"/>
      </w:rPr>
      <w:t>t</w:t>
    </w:r>
    <w:r w:rsidRPr="00316B76">
      <w:rPr>
        <w:rFonts w:ascii="Arial" w:hAnsi="Arial" w:cs="Arial"/>
        <w:b/>
        <w:bCs/>
        <w:i/>
        <w:iCs/>
        <w:color w:val="00007E"/>
        <w:sz w:val="52"/>
        <w:szCs w:val="52"/>
      </w:rPr>
      <w:t>oXcel</w:t>
    </w:r>
    <w:proofErr w:type="spellEnd"/>
    <w:proofErr w:type="gramEnd"/>
  </w:p>
  <w:p w:rsidR="00E73AFB" w:rsidRPr="00316B76" w:rsidRDefault="00E73AFB" w:rsidP="00164C9D">
    <w:pPr>
      <w:autoSpaceDE w:val="0"/>
      <w:autoSpaceDN w:val="0"/>
      <w:adjustRightInd w:val="0"/>
      <w:jc w:val="center"/>
      <w:outlineLvl w:val="3"/>
      <w:rPr>
        <w:rFonts w:ascii="Verdana" w:hAnsi="Verdana" w:cs="Verdana"/>
        <w:color w:val="00007E"/>
      </w:rPr>
    </w:pPr>
    <w:r>
      <w:rPr>
        <w:rFonts w:ascii="Verdana" w:hAnsi="Verdana" w:cs="Verdana"/>
        <w:b/>
        <w:bCs/>
        <w:i/>
        <w:iCs/>
        <w:color w:val="00007E"/>
      </w:rPr>
      <w:t xml:space="preserve">   </w:t>
    </w:r>
    <w:r w:rsidRPr="00316B76">
      <w:rPr>
        <w:rFonts w:ascii="Verdana" w:hAnsi="Verdana" w:cs="Verdana"/>
        <w:b/>
        <w:bCs/>
        <w:i/>
        <w:iCs/>
        <w:color w:val="00007E"/>
      </w:rPr>
      <w:t>Toxicology &amp; Regulatory Affairs</w:t>
    </w:r>
  </w:p>
  <w:p w:rsidR="00E73AFB" w:rsidRPr="000278A4" w:rsidRDefault="00E73AFB" w:rsidP="00164C9D">
    <w:pPr>
      <w:autoSpaceDE w:val="0"/>
      <w:autoSpaceDN w:val="0"/>
      <w:adjustRightInd w:val="0"/>
      <w:ind w:right="-270"/>
      <w:jc w:val="center"/>
      <w:outlineLvl w:val="6"/>
      <w:rPr>
        <w:rFonts w:ascii="Arial" w:hAnsi="Arial" w:cs="Arial"/>
        <w:color w:val="00007E"/>
        <w:lang w:val="da-DK"/>
      </w:rPr>
    </w:pPr>
    <w:r w:rsidRPr="000278A4">
      <w:rPr>
        <w:rFonts w:ascii="Arial" w:hAnsi="Arial" w:cs="Arial"/>
        <w:b/>
        <w:bCs/>
        <w:color w:val="00007E"/>
        <w:lang w:val="da-DK"/>
      </w:rPr>
      <w:t>7140 Heritage Village Plaza</w:t>
    </w:r>
  </w:p>
  <w:p w:rsidR="00E73AFB" w:rsidRPr="000278A4" w:rsidRDefault="00E73AFB" w:rsidP="00164C9D">
    <w:pPr>
      <w:autoSpaceDE w:val="0"/>
      <w:autoSpaceDN w:val="0"/>
      <w:adjustRightInd w:val="0"/>
      <w:ind w:right="36"/>
      <w:jc w:val="center"/>
      <w:outlineLvl w:val="4"/>
      <w:rPr>
        <w:rFonts w:ascii="Arial" w:hAnsi="Arial" w:cs="Arial"/>
        <w:color w:val="00007E"/>
        <w:lang w:val="da-DK"/>
      </w:rPr>
    </w:pPr>
    <w:r>
      <w:rPr>
        <w:rFonts w:ascii="Arial" w:hAnsi="Arial" w:cs="Arial"/>
        <w:b/>
        <w:bCs/>
        <w:color w:val="00007E"/>
        <w:lang w:val="da-DK"/>
      </w:rPr>
      <w:t xml:space="preserve">    </w:t>
    </w:r>
    <w:r w:rsidRPr="000278A4">
      <w:rPr>
        <w:rFonts w:ascii="Arial" w:hAnsi="Arial" w:cs="Arial"/>
        <w:b/>
        <w:bCs/>
        <w:color w:val="00007E"/>
        <w:lang w:val="da-DK"/>
      </w:rPr>
      <w:t>Gainesville, VA 2015</w:t>
    </w:r>
    <w:r w:rsidR="00CF702E">
      <w:rPr>
        <w:rFonts w:ascii="Arial" w:hAnsi="Arial" w:cs="Arial"/>
        <w:b/>
        <w:bCs/>
        <w:color w:val="00007E"/>
        <w:lang w:val="da-DK"/>
      </w:rPr>
      <w:t>5</w:t>
    </w:r>
  </w:p>
  <w:p w:rsidR="00E73AFB" w:rsidRPr="00316B76" w:rsidRDefault="00E73AFB" w:rsidP="000461D3">
    <w:pPr>
      <w:autoSpaceDE w:val="0"/>
      <w:autoSpaceDN w:val="0"/>
      <w:adjustRightInd w:val="0"/>
      <w:ind w:right="36"/>
      <w:outlineLvl w:val="1"/>
      <w:rPr>
        <w:rFonts w:ascii="Arial" w:hAnsi="Arial" w:cs="Arial"/>
        <w:color w:val="00007E"/>
        <w:sz w:val="22"/>
        <w:szCs w:val="22"/>
      </w:rPr>
    </w:pPr>
    <w:r w:rsidRPr="00316B76">
      <w:rPr>
        <w:rFonts w:ascii="Arial" w:hAnsi="Arial" w:cs="Arial"/>
        <w:b/>
        <w:bCs/>
        <w:color w:val="00007E"/>
        <w:sz w:val="22"/>
        <w:szCs w:val="22"/>
      </w:rPr>
      <w:t xml:space="preserve">Phone: (703) </w:t>
    </w:r>
    <w:r>
      <w:rPr>
        <w:rFonts w:ascii="Arial" w:hAnsi="Arial" w:cs="Arial"/>
        <w:b/>
        <w:bCs/>
        <w:color w:val="00007E"/>
        <w:sz w:val="22"/>
        <w:szCs w:val="22"/>
      </w:rPr>
      <w:t>754-0248</w:t>
    </w:r>
    <w:r w:rsidRPr="00316B76">
      <w:rPr>
        <w:rFonts w:ascii="Arial" w:hAnsi="Arial" w:cs="Arial"/>
        <w:b/>
        <w:bCs/>
        <w:color w:val="00007E"/>
        <w:sz w:val="22"/>
        <w:szCs w:val="22"/>
      </w:rPr>
      <w:t xml:space="preserve"> </w:t>
    </w:r>
    <w:r>
      <w:rPr>
        <w:rFonts w:ascii="Arial" w:hAnsi="Arial" w:cs="Arial"/>
        <w:b/>
        <w:bCs/>
        <w:color w:val="00007E"/>
        <w:sz w:val="22"/>
        <w:szCs w:val="22"/>
      </w:rPr>
      <w:tab/>
    </w:r>
    <w:r>
      <w:rPr>
        <w:rFonts w:ascii="Arial" w:hAnsi="Arial" w:cs="Arial"/>
        <w:b/>
        <w:bCs/>
        <w:color w:val="00007E"/>
        <w:sz w:val="22"/>
        <w:szCs w:val="22"/>
      </w:rPr>
      <w:tab/>
    </w:r>
    <w:r w:rsidR="000461D3">
      <w:rPr>
        <w:rFonts w:ascii="Arial" w:hAnsi="Arial" w:cs="Arial"/>
        <w:b/>
        <w:bCs/>
        <w:color w:val="00007E"/>
        <w:sz w:val="22"/>
        <w:szCs w:val="22"/>
      </w:rPr>
      <w:t xml:space="preserve">                       </w:t>
    </w:r>
    <w:r>
      <w:rPr>
        <w:rFonts w:ascii="Arial" w:hAnsi="Arial" w:cs="Arial"/>
        <w:b/>
        <w:bCs/>
        <w:color w:val="00007E"/>
        <w:sz w:val="22"/>
        <w:szCs w:val="22"/>
      </w:rPr>
      <w:tab/>
    </w:r>
    <w:r>
      <w:rPr>
        <w:rFonts w:ascii="Arial" w:hAnsi="Arial" w:cs="Arial"/>
        <w:b/>
        <w:bCs/>
        <w:color w:val="00007E"/>
        <w:sz w:val="22"/>
        <w:szCs w:val="22"/>
      </w:rPr>
      <w:tab/>
      <w:t xml:space="preserve">                      </w:t>
    </w:r>
    <w:r w:rsidR="000461D3">
      <w:rPr>
        <w:rFonts w:ascii="Arial" w:hAnsi="Arial" w:cs="Arial"/>
        <w:b/>
        <w:bCs/>
        <w:color w:val="00007E"/>
        <w:sz w:val="22"/>
        <w:szCs w:val="22"/>
      </w:rPr>
      <w:t xml:space="preserve">  </w:t>
    </w:r>
    <w:r>
      <w:rPr>
        <w:rFonts w:ascii="Arial" w:hAnsi="Arial" w:cs="Arial"/>
        <w:b/>
        <w:bCs/>
        <w:color w:val="00007E"/>
        <w:sz w:val="22"/>
        <w:szCs w:val="22"/>
      </w:rPr>
      <w:t xml:space="preserve"> </w:t>
    </w:r>
    <w:r w:rsidRPr="00316B76">
      <w:rPr>
        <w:rFonts w:ascii="Arial" w:hAnsi="Arial" w:cs="Arial"/>
        <w:b/>
        <w:bCs/>
        <w:color w:val="00007E"/>
        <w:sz w:val="22"/>
        <w:szCs w:val="22"/>
      </w:rPr>
      <w:t>Fax: (703) 310-6950</w:t>
    </w:r>
  </w:p>
  <w:p w:rsidR="00E73AFB" w:rsidRDefault="00E73A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81553"/>
    <w:multiLevelType w:val="hybridMultilevel"/>
    <w:tmpl w:val="8A008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575951"/>
    <w:multiLevelType w:val="hybridMultilevel"/>
    <w:tmpl w:val="97C4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620D4A"/>
    <w:multiLevelType w:val="hybridMultilevel"/>
    <w:tmpl w:val="C4DCA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052"/>
    <w:rsid w:val="0001524E"/>
    <w:rsid w:val="00025027"/>
    <w:rsid w:val="000461D3"/>
    <w:rsid w:val="00051F49"/>
    <w:rsid w:val="000939BD"/>
    <w:rsid w:val="00094AE8"/>
    <w:rsid w:val="00094B2D"/>
    <w:rsid w:val="000A5317"/>
    <w:rsid w:val="000F7320"/>
    <w:rsid w:val="00106782"/>
    <w:rsid w:val="00115B27"/>
    <w:rsid w:val="00140799"/>
    <w:rsid w:val="00164C9D"/>
    <w:rsid w:val="001905E5"/>
    <w:rsid w:val="001B518A"/>
    <w:rsid w:val="001F4BDF"/>
    <w:rsid w:val="002024FD"/>
    <w:rsid w:val="0022182B"/>
    <w:rsid w:val="00251C32"/>
    <w:rsid w:val="00262EBE"/>
    <w:rsid w:val="002C02DB"/>
    <w:rsid w:val="002F0DDF"/>
    <w:rsid w:val="003400E0"/>
    <w:rsid w:val="003A792C"/>
    <w:rsid w:val="003B1214"/>
    <w:rsid w:val="003B7444"/>
    <w:rsid w:val="003D1736"/>
    <w:rsid w:val="003E7D9F"/>
    <w:rsid w:val="00423A50"/>
    <w:rsid w:val="00452702"/>
    <w:rsid w:val="00457F56"/>
    <w:rsid w:val="00491CCF"/>
    <w:rsid w:val="004B1FE7"/>
    <w:rsid w:val="004D1DD5"/>
    <w:rsid w:val="00504482"/>
    <w:rsid w:val="00580340"/>
    <w:rsid w:val="00581670"/>
    <w:rsid w:val="005C12A2"/>
    <w:rsid w:val="00630403"/>
    <w:rsid w:val="00634880"/>
    <w:rsid w:val="0065154F"/>
    <w:rsid w:val="00671BA8"/>
    <w:rsid w:val="006721FE"/>
    <w:rsid w:val="006C4258"/>
    <w:rsid w:val="006E0064"/>
    <w:rsid w:val="0070064C"/>
    <w:rsid w:val="00755F53"/>
    <w:rsid w:val="007837CD"/>
    <w:rsid w:val="007866E6"/>
    <w:rsid w:val="00791541"/>
    <w:rsid w:val="007D078F"/>
    <w:rsid w:val="007E30D5"/>
    <w:rsid w:val="007E758C"/>
    <w:rsid w:val="008619BD"/>
    <w:rsid w:val="00892B7A"/>
    <w:rsid w:val="00913C19"/>
    <w:rsid w:val="00970408"/>
    <w:rsid w:val="009A2FF4"/>
    <w:rsid w:val="009D626F"/>
    <w:rsid w:val="009D65D3"/>
    <w:rsid w:val="00A17483"/>
    <w:rsid w:val="00A333E1"/>
    <w:rsid w:val="00A35934"/>
    <w:rsid w:val="00A36A85"/>
    <w:rsid w:val="00A562A2"/>
    <w:rsid w:val="00A761E9"/>
    <w:rsid w:val="00AA7E34"/>
    <w:rsid w:val="00AC0C91"/>
    <w:rsid w:val="00AF00A8"/>
    <w:rsid w:val="00B16CD8"/>
    <w:rsid w:val="00B35F82"/>
    <w:rsid w:val="00B37615"/>
    <w:rsid w:val="00BA61B5"/>
    <w:rsid w:val="00BB43FE"/>
    <w:rsid w:val="00BC0052"/>
    <w:rsid w:val="00C57045"/>
    <w:rsid w:val="00C80EED"/>
    <w:rsid w:val="00C83630"/>
    <w:rsid w:val="00CA5F45"/>
    <w:rsid w:val="00CB500B"/>
    <w:rsid w:val="00CB676A"/>
    <w:rsid w:val="00CE1B5E"/>
    <w:rsid w:val="00CF702E"/>
    <w:rsid w:val="00D81478"/>
    <w:rsid w:val="00DF5DCC"/>
    <w:rsid w:val="00E12122"/>
    <w:rsid w:val="00E13BDA"/>
    <w:rsid w:val="00E373B9"/>
    <w:rsid w:val="00E53FF2"/>
    <w:rsid w:val="00E55B04"/>
    <w:rsid w:val="00E71D00"/>
    <w:rsid w:val="00E73AFB"/>
    <w:rsid w:val="00E94CF4"/>
    <w:rsid w:val="00EA75CE"/>
    <w:rsid w:val="00EC0182"/>
    <w:rsid w:val="00F00DAE"/>
    <w:rsid w:val="00F76060"/>
    <w:rsid w:val="00F94C36"/>
    <w:rsid w:val="00FC4A5A"/>
    <w:rsid w:val="00FD7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7E5DEB4-1ABB-439B-A316-DEE6BC05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A5A"/>
    <w:rPr>
      <w:sz w:val="24"/>
      <w:szCs w:val="24"/>
    </w:rPr>
  </w:style>
  <w:style w:type="paragraph" w:styleId="Heading1">
    <w:name w:val="heading 1"/>
    <w:basedOn w:val="Normal"/>
    <w:next w:val="Normal"/>
    <w:qFormat/>
    <w:rsid w:val="00FC4A5A"/>
    <w:pPr>
      <w:keepNext/>
      <w:outlineLvl w:val="0"/>
    </w:pPr>
    <w:rPr>
      <w:rFonts w:ascii="Arial" w:hAnsi="Arial" w:cs="Arial"/>
      <w:sz w:val="22"/>
      <w:u w:val="single"/>
    </w:rPr>
  </w:style>
  <w:style w:type="paragraph" w:styleId="Heading4">
    <w:name w:val="heading 4"/>
    <w:basedOn w:val="Normal"/>
    <w:next w:val="Normal"/>
    <w:qFormat/>
    <w:rsid w:val="00FC4A5A"/>
    <w:pPr>
      <w:keepNext/>
      <w:tabs>
        <w:tab w:val="center" w:pos="4680"/>
      </w:tabs>
      <w:ind w:right="-450"/>
      <w:jc w:val="center"/>
      <w:outlineLvl w:val="3"/>
    </w:pPr>
    <w:rPr>
      <w:b/>
      <w:color w:val="333399"/>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FC4A5A"/>
    <w:rPr>
      <w:rFonts w:ascii="Arial" w:hAnsi="Arial" w:cs="Arial"/>
      <w:color w:val="000080"/>
      <w:sz w:val="20"/>
      <w:szCs w:val="20"/>
    </w:rPr>
  </w:style>
  <w:style w:type="paragraph" w:styleId="NormalWeb">
    <w:name w:val="Normal (Web)"/>
    <w:basedOn w:val="Normal"/>
    <w:rsid w:val="00FC4A5A"/>
    <w:pPr>
      <w:spacing w:before="100" w:beforeAutospacing="1" w:after="100" w:afterAutospacing="1"/>
    </w:pPr>
    <w:rPr>
      <w:lang w:val="en-GB" w:eastAsia="en-GB"/>
    </w:rPr>
  </w:style>
  <w:style w:type="character" w:styleId="Strong">
    <w:name w:val="Strong"/>
    <w:basedOn w:val="DefaultParagraphFont"/>
    <w:qFormat/>
    <w:rsid w:val="00FC4A5A"/>
    <w:rPr>
      <w:b/>
      <w:bCs/>
    </w:rPr>
  </w:style>
  <w:style w:type="paragraph" w:styleId="BodyText">
    <w:name w:val="Body Text"/>
    <w:basedOn w:val="Normal"/>
    <w:rsid w:val="00FC4A5A"/>
    <w:pPr>
      <w:jc w:val="both"/>
    </w:pPr>
    <w:rPr>
      <w:rFonts w:ascii="Arial" w:hAnsi="Arial" w:cs="Arial"/>
      <w:sz w:val="22"/>
    </w:rPr>
  </w:style>
  <w:style w:type="paragraph" w:styleId="Footer">
    <w:name w:val="footer"/>
    <w:basedOn w:val="Normal"/>
    <w:rsid w:val="00FC4A5A"/>
    <w:pPr>
      <w:tabs>
        <w:tab w:val="center" w:pos="4320"/>
        <w:tab w:val="right" w:pos="8640"/>
      </w:tabs>
    </w:pPr>
  </w:style>
  <w:style w:type="paragraph" w:styleId="BodyTextIndent">
    <w:name w:val="Body Text Indent"/>
    <w:basedOn w:val="Normal"/>
    <w:rsid w:val="00FC4A5A"/>
    <w:pPr>
      <w:ind w:left="2160" w:hanging="2160"/>
    </w:pPr>
    <w:rPr>
      <w:rFonts w:ascii="Arial" w:hAnsi="Arial" w:cs="Arial"/>
      <w:sz w:val="22"/>
    </w:rPr>
  </w:style>
  <w:style w:type="paragraph" w:styleId="BodyTextIndent2">
    <w:name w:val="Body Text Indent 2"/>
    <w:basedOn w:val="Normal"/>
    <w:rsid w:val="00FC4A5A"/>
    <w:pPr>
      <w:ind w:left="720"/>
    </w:pPr>
    <w:rPr>
      <w:rFonts w:ascii="Arial" w:hAnsi="Arial" w:cs="Arial"/>
      <w:sz w:val="22"/>
    </w:rPr>
  </w:style>
  <w:style w:type="paragraph" w:styleId="BalloonText">
    <w:name w:val="Balloon Text"/>
    <w:basedOn w:val="Normal"/>
    <w:semiHidden/>
    <w:rsid w:val="00C80EED"/>
    <w:rPr>
      <w:rFonts w:ascii="Tahoma" w:hAnsi="Tahoma" w:cs="Tahoma"/>
      <w:sz w:val="16"/>
      <w:szCs w:val="16"/>
    </w:rPr>
  </w:style>
  <w:style w:type="paragraph" w:styleId="Header">
    <w:name w:val="header"/>
    <w:basedOn w:val="Normal"/>
    <w:rsid w:val="00CB676A"/>
    <w:pPr>
      <w:tabs>
        <w:tab w:val="center" w:pos="4320"/>
        <w:tab w:val="right" w:pos="8640"/>
      </w:tabs>
    </w:pPr>
  </w:style>
  <w:style w:type="character" w:styleId="PageNumber">
    <w:name w:val="page number"/>
    <w:basedOn w:val="DefaultParagraphFont"/>
    <w:rsid w:val="00CB676A"/>
  </w:style>
  <w:style w:type="character" w:styleId="CommentReference">
    <w:name w:val="annotation reference"/>
    <w:basedOn w:val="DefaultParagraphFont"/>
    <w:rsid w:val="002024FD"/>
    <w:rPr>
      <w:sz w:val="16"/>
      <w:szCs w:val="16"/>
    </w:rPr>
  </w:style>
  <w:style w:type="paragraph" w:styleId="CommentText">
    <w:name w:val="annotation text"/>
    <w:basedOn w:val="Normal"/>
    <w:link w:val="CommentTextChar"/>
    <w:rsid w:val="002024FD"/>
    <w:rPr>
      <w:sz w:val="20"/>
      <w:szCs w:val="20"/>
    </w:rPr>
  </w:style>
  <w:style w:type="character" w:customStyle="1" w:styleId="CommentTextChar">
    <w:name w:val="Comment Text Char"/>
    <w:basedOn w:val="DefaultParagraphFont"/>
    <w:link w:val="CommentText"/>
    <w:rsid w:val="002024FD"/>
  </w:style>
  <w:style w:type="paragraph" w:styleId="CommentSubject">
    <w:name w:val="annotation subject"/>
    <w:basedOn w:val="CommentText"/>
    <w:next w:val="CommentText"/>
    <w:link w:val="CommentSubjectChar"/>
    <w:rsid w:val="002024FD"/>
    <w:rPr>
      <w:b/>
      <w:bCs/>
    </w:rPr>
  </w:style>
  <w:style w:type="character" w:customStyle="1" w:styleId="CommentSubjectChar">
    <w:name w:val="Comment Subject Char"/>
    <w:basedOn w:val="CommentTextChar"/>
    <w:link w:val="CommentSubject"/>
    <w:rsid w:val="002024FD"/>
    <w:rPr>
      <w:b/>
      <w:bCs/>
    </w:rPr>
  </w:style>
  <w:style w:type="paragraph" w:styleId="ListParagraph">
    <w:name w:val="List Paragraph"/>
    <w:basedOn w:val="Normal"/>
    <w:uiPriority w:val="34"/>
    <w:qFormat/>
    <w:rsid w:val="00B16CD8"/>
    <w:pPr>
      <w:ind w:left="720"/>
      <w:contextualSpacing/>
    </w:pPr>
    <w:rPr>
      <w:rFonts w:ascii="Calibri" w:eastAsia="Calibri" w:hAnsi="Calibri"/>
      <w:sz w:val="22"/>
      <w:szCs w:val="22"/>
    </w:rPr>
  </w:style>
  <w:style w:type="paragraph" w:styleId="PlainText">
    <w:name w:val="Plain Text"/>
    <w:basedOn w:val="Normal"/>
    <w:link w:val="PlainTextChar"/>
    <w:rsid w:val="00E55B04"/>
    <w:rPr>
      <w:rFonts w:ascii="Courier New" w:hAnsi="Courier New"/>
      <w:sz w:val="20"/>
      <w:szCs w:val="20"/>
    </w:rPr>
  </w:style>
  <w:style w:type="character" w:customStyle="1" w:styleId="PlainTextChar">
    <w:name w:val="Plain Text Char"/>
    <w:basedOn w:val="DefaultParagraphFont"/>
    <w:link w:val="PlainText"/>
    <w:rsid w:val="00E55B04"/>
    <w:rPr>
      <w:rFonts w:ascii="Courier New" w:hAnsi="Courier New"/>
    </w:rPr>
  </w:style>
  <w:style w:type="paragraph" w:customStyle="1" w:styleId="Default">
    <w:name w:val="Default"/>
    <w:rsid w:val="00D81478"/>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28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1903</Words>
  <Characters>12469</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toXcel</vt:lpstr>
    </vt:vector>
  </TitlesOfParts>
  <Company>Toxcel</Company>
  <LinksUpToDate>false</LinksUpToDate>
  <CharactersWithSpaces>14344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toXcel</dc:title>
  <dc:creator>Jennifer Wagar</dc:creator>
  <cp:lastModifiedBy>Gary Whitmyre</cp:lastModifiedBy>
  <cp:revision>2</cp:revision>
  <cp:lastPrinted>2015-03-16T23:20:00Z</cp:lastPrinted>
  <dcterms:created xsi:type="dcterms:W3CDTF">2017-09-26T18:57:00Z</dcterms:created>
  <dcterms:modified xsi:type="dcterms:W3CDTF">2017-09-26T18:57:00Z</dcterms:modified>
</cp:coreProperties>
</file>